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D4741" w14:textId="2F4CD380" w:rsidR="008314DB" w:rsidRPr="00797E3C" w:rsidRDefault="008314DB" w:rsidP="00797E3C">
      <w:pPr>
        <w:pStyle w:val="3GPPHeader"/>
      </w:pPr>
      <w:bookmarkStart w:id="0" w:name="_Hlk524960236"/>
      <w:r w:rsidRPr="00AC3F43">
        <w:t>3GPP TSG-RAN WG1 Meeting #</w:t>
      </w:r>
      <w:r w:rsidRPr="00BE017E">
        <w:t>9</w:t>
      </w:r>
      <w:r>
        <w:t>9</w:t>
      </w:r>
      <w:r w:rsidRPr="00BE017E">
        <w:tab/>
      </w:r>
      <w:r w:rsidRPr="00797E3C">
        <w:t xml:space="preserve"> </w:t>
      </w:r>
      <w:r w:rsidR="00797E3C" w:rsidRPr="00797E3C">
        <w:t>R1-1912711</w:t>
      </w:r>
    </w:p>
    <w:p w14:paraId="54BB8DB2" w14:textId="34AA9873" w:rsidR="005045A9" w:rsidRPr="008314DB" w:rsidRDefault="008314DB" w:rsidP="008314DB">
      <w:pPr>
        <w:pStyle w:val="3GPPHeader"/>
      </w:pPr>
      <w:r>
        <w:t>Reno</w:t>
      </w:r>
      <w:r w:rsidRPr="00BE017E">
        <w:t xml:space="preserve">, </w:t>
      </w:r>
      <w:r>
        <w:t>USA</w:t>
      </w:r>
      <w:r w:rsidRPr="00BE017E">
        <w:t xml:space="preserve">, </w:t>
      </w:r>
      <w:r>
        <w:t>November</w:t>
      </w:r>
      <w:r w:rsidRPr="00BE017E">
        <w:t xml:space="preserve"> </w:t>
      </w:r>
      <w:r>
        <w:t>18</w:t>
      </w:r>
      <w:r w:rsidRPr="00BE017E">
        <w:rPr>
          <w:vertAlign w:val="superscript"/>
        </w:rPr>
        <w:t>th</w:t>
      </w:r>
      <w:r w:rsidRPr="00BE017E">
        <w:t xml:space="preserve"> </w:t>
      </w:r>
      <w:r w:rsidRPr="00A56A98">
        <w:t xml:space="preserve">– </w:t>
      </w:r>
      <w:r>
        <w:t>22</w:t>
      </w:r>
      <w:r>
        <w:rPr>
          <w:vertAlign w:val="superscript"/>
        </w:rPr>
        <w:t>nd</w:t>
      </w:r>
      <w:r w:rsidRPr="00BE017E">
        <w:t>, 201</w:t>
      </w:r>
      <w:r w:rsidRPr="00A56A98">
        <w:t>9</w:t>
      </w:r>
    </w:p>
    <w:p w14:paraId="3A37CE31" w14:textId="77777777" w:rsidR="005045A9" w:rsidRPr="008A0EB7" w:rsidRDefault="005045A9" w:rsidP="005045A9">
      <w:pPr>
        <w:pStyle w:val="3GPPHeader"/>
        <w:rPr>
          <w:rFonts w:asciiTheme="minorHAnsi" w:hAnsiTheme="minorHAnsi" w:cstheme="minorHAnsi"/>
          <w:sz w:val="22"/>
        </w:rPr>
      </w:pPr>
      <w:r w:rsidRPr="008A0EB7">
        <w:rPr>
          <w:rFonts w:asciiTheme="minorHAnsi" w:hAnsiTheme="minorHAnsi" w:cstheme="minorHAnsi"/>
          <w:sz w:val="22"/>
        </w:rPr>
        <w:t>Agenda Item:</w:t>
      </w:r>
      <w:r w:rsidRPr="008A0EB7">
        <w:rPr>
          <w:rFonts w:asciiTheme="minorHAnsi" w:hAnsiTheme="minorHAnsi" w:cstheme="minorHAnsi"/>
          <w:sz w:val="22"/>
        </w:rPr>
        <w:tab/>
        <w:t>7.2.2.2.3</w:t>
      </w:r>
    </w:p>
    <w:p w14:paraId="09EDF031" w14:textId="77777777" w:rsidR="005045A9" w:rsidRPr="008A0EB7" w:rsidRDefault="005045A9" w:rsidP="005045A9">
      <w:pPr>
        <w:pStyle w:val="3GPPHeader"/>
        <w:rPr>
          <w:rFonts w:asciiTheme="minorHAnsi" w:hAnsiTheme="minorHAnsi" w:cstheme="minorHAnsi"/>
          <w:sz w:val="22"/>
        </w:rPr>
      </w:pPr>
      <w:r w:rsidRPr="008A0EB7">
        <w:rPr>
          <w:rFonts w:asciiTheme="minorHAnsi" w:hAnsiTheme="minorHAnsi" w:cstheme="minorHAnsi"/>
          <w:sz w:val="22"/>
        </w:rPr>
        <w:t>Source:</w:t>
      </w:r>
      <w:r w:rsidRPr="008A0EB7">
        <w:rPr>
          <w:rFonts w:asciiTheme="minorHAnsi" w:hAnsiTheme="minorHAnsi" w:cstheme="minorHAnsi"/>
          <w:sz w:val="22"/>
        </w:rPr>
        <w:tab/>
        <w:t>Ericsson</w:t>
      </w:r>
    </w:p>
    <w:p w14:paraId="082438BC" w14:textId="77777777" w:rsidR="005045A9" w:rsidRPr="008A0EB7" w:rsidRDefault="005045A9" w:rsidP="005045A9">
      <w:pPr>
        <w:pStyle w:val="3GPPHeader"/>
        <w:rPr>
          <w:rFonts w:asciiTheme="minorHAnsi" w:hAnsiTheme="minorHAnsi" w:cstheme="minorHAnsi"/>
          <w:sz w:val="22"/>
        </w:rPr>
      </w:pPr>
      <w:r w:rsidRPr="008A0EB7">
        <w:rPr>
          <w:rFonts w:asciiTheme="minorHAnsi" w:hAnsiTheme="minorHAnsi" w:cstheme="minorHAnsi"/>
          <w:sz w:val="22"/>
        </w:rPr>
        <w:t>Title:</w:t>
      </w:r>
      <w:r w:rsidRPr="008A0EB7">
        <w:rPr>
          <w:rFonts w:asciiTheme="minorHAnsi" w:hAnsiTheme="minorHAnsi" w:cstheme="minorHAnsi"/>
          <w:sz w:val="22"/>
        </w:rPr>
        <w:tab/>
        <w:t>HARQ and scheduling enhancements for NR-U</w:t>
      </w:r>
    </w:p>
    <w:p w14:paraId="3A834D4F" w14:textId="7DB431F5" w:rsidR="001E44B0" w:rsidRPr="001E44B0" w:rsidRDefault="005045A9" w:rsidP="001E44B0">
      <w:pPr>
        <w:pStyle w:val="3GPPHeader"/>
        <w:pBdr>
          <w:bottom w:val="single" w:sz="6" w:space="1" w:color="auto"/>
        </w:pBdr>
        <w:rPr>
          <w:rFonts w:asciiTheme="minorHAnsi" w:hAnsiTheme="minorHAnsi" w:cstheme="minorHAnsi"/>
          <w:sz w:val="22"/>
        </w:rPr>
      </w:pPr>
      <w:r w:rsidRPr="005045A9">
        <w:rPr>
          <w:rFonts w:asciiTheme="minorHAnsi" w:hAnsiTheme="minorHAnsi" w:cstheme="minorHAnsi"/>
          <w:sz w:val="22"/>
        </w:rPr>
        <w:t>Document for:</w:t>
      </w:r>
      <w:r w:rsidRPr="005045A9">
        <w:rPr>
          <w:rFonts w:asciiTheme="minorHAnsi" w:hAnsiTheme="minorHAnsi" w:cstheme="minorHAnsi"/>
          <w:sz w:val="22"/>
        </w:rPr>
        <w:tab/>
        <w:t>Discussion, Decision</w:t>
      </w:r>
    </w:p>
    <w:p w14:paraId="71A97256" w14:textId="77777777" w:rsidR="005045A9" w:rsidRPr="005045A9" w:rsidRDefault="005045A9" w:rsidP="005D7F44">
      <w:pPr>
        <w:pStyle w:val="Heading1"/>
      </w:pPr>
      <w:r w:rsidRPr="005D7F44">
        <w:t>Introduction</w:t>
      </w:r>
    </w:p>
    <w:p w14:paraId="0C94352C" w14:textId="77777777" w:rsidR="005045A9" w:rsidRPr="008A0EB7" w:rsidRDefault="005045A9" w:rsidP="005045A9">
      <w:pPr>
        <w:pStyle w:val="BodyText"/>
        <w:rPr>
          <w:rFonts w:asciiTheme="minorHAnsi" w:hAnsiTheme="minorHAnsi" w:cstheme="minorHAnsi"/>
        </w:rPr>
      </w:pPr>
      <w:r w:rsidRPr="008A0EB7">
        <w:rPr>
          <w:rFonts w:asciiTheme="minorHAnsi" w:hAnsiTheme="minorHAnsi" w:cstheme="minorHAnsi"/>
        </w:rPr>
        <w:t xml:space="preserve">In this contribution, we provide our view on possible HARQ related and UL scheduling issues that should be addressed when designing HARQ enhancements and multi-slot scheduling that can be beneficial for NR Rel-16 and in particular for operation in unlicensed bands. </w:t>
      </w:r>
    </w:p>
    <w:p w14:paraId="2CC88A10" w14:textId="126757AE" w:rsidR="005045A9" w:rsidRPr="005045A9" w:rsidRDefault="005045A9" w:rsidP="005D7F44">
      <w:pPr>
        <w:pStyle w:val="Heading1"/>
      </w:pPr>
      <w:r w:rsidRPr="005045A9">
        <w:t>HARQ enhancements</w:t>
      </w:r>
    </w:p>
    <w:p w14:paraId="246560AE" w14:textId="77777777" w:rsidR="005045A9" w:rsidRPr="005045A9" w:rsidRDefault="005045A9" w:rsidP="005D7F44">
      <w:pPr>
        <w:pStyle w:val="Heading2"/>
      </w:pPr>
      <w:bookmarkStart w:id="1" w:name="_Toc4628276"/>
      <w:bookmarkStart w:id="2" w:name="_Toc4629822"/>
      <w:bookmarkStart w:id="3" w:name="_Toc4628277"/>
      <w:bookmarkStart w:id="4" w:name="_Toc4629823"/>
      <w:bookmarkStart w:id="5" w:name="_Toc4628278"/>
      <w:bookmarkStart w:id="6" w:name="_Toc4629824"/>
      <w:bookmarkEnd w:id="1"/>
      <w:bookmarkEnd w:id="2"/>
      <w:bookmarkEnd w:id="3"/>
      <w:bookmarkEnd w:id="4"/>
      <w:bookmarkEnd w:id="5"/>
      <w:bookmarkEnd w:id="6"/>
      <w:r w:rsidRPr="005045A9">
        <w:t>Dynamic HARQ codebook</w:t>
      </w:r>
    </w:p>
    <w:p w14:paraId="603AB705" w14:textId="1D804E93" w:rsidR="005045A9" w:rsidRPr="005045A9" w:rsidRDefault="005045A9" w:rsidP="005D7F44">
      <w:pPr>
        <w:pStyle w:val="Heading3"/>
      </w:pPr>
      <w:r w:rsidRPr="005045A9">
        <w:t>DAI value extension</w:t>
      </w:r>
    </w:p>
    <w:p w14:paraId="657CA24A" w14:textId="71B09D98" w:rsidR="00014000" w:rsidRPr="00EE2927" w:rsidRDefault="005045A9" w:rsidP="004C3ADF">
      <w:pPr>
        <w:jc w:val="both"/>
      </w:pPr>
      <w:r w:rsidRPr="00EE2927">
        <w:t>The UE refers to the DAI value to calculate the dynamic codebook size. For every PDSCH transmission, the DAI value in the DCI is incremented. The DAI in the DL scheduling DCI should be stepped by one compared to the immediately preceding DL scheduling DCI, if difference between the two received DAI values at the UE in current and earlier DCI is higher than 1, it is an indication that PDCCH transmission(s) has been missed. The DAI value in NR rel-15 is only 2-bits, after reaching the highest DAI value (i.e. 4), the value is reset again to the smallest value. This means that if the UE missed 4 or more PDSCH transmission, the UE will not be able to correctly calculate the codebook size, and therefore there will be misalignment between the gNB’s expected codebook size and the reported one by the UE. While missing 4 or more consecutive PDSCH on licensed carrier is unlikely, it is highly likely to happen on an unlicensed band due to collisions and especially for larger SCS where the slot duration is smaller.</w:t>
      </w:r>
      <w:r w:rsidR="00DB54F6" w:rsidRPr="00EE2927">
        <w:t xml:space="preserve"> </w:t>
      </w:r>
      <w:r w:rsidR="001E0F50" w:rsidRPr="00EE2927">
        <w:t>The problem become</w:t>
      </w:r>
      <w:r w:rsidR="009A26B6" w:rsidRPr="00EE2927">
        <w:t xml:space="preserve">s </w:t>
      </w:r>
      <w:r w:rsidR="001E0F50" w:rsidRPr="00EE2927">
        <w:t xml:space="preserve">more severe when operating on a </w:t>
      </w:r>
      <w:r w:rsidR="006B5F66" w:rsidRPr="00EE2927">
        <w:t xml:space="preserve">wideband.  </w:t>
      </w:r>
      <w:r w:rsidR="009A26B6" w:rsidRPr="00EE2927">
        <w:t xml:space="preserve">For the subbands of a wideband carrier, the error events are likely to be much more correlated because of the presence of wideband interferers. </w:t>
      </w:r>
      <w:r w:rsidRPr="00EE2927">
        <w:t xml:space="preserve"> Thereby, the 2-bit DAI will cause an issue. </w:t>
      </w:r>
    </w:p>
    <w:p w14:paraId="31CF04C9" w14:textId="33AA4831" w:rsidR="00F24679" w:rsidRPr="00EE2927" w:rsidRDefault="00C36E02" w:rsidP="00EE2927">
      <w:pPr>
        <w:pStyle w:val="Observation"/>
        <w:rPr>
          <w:rStyle w:val="IvDbodytextChar"/>
          <w:rFonts w:asciiTheme="minorHAnsi" w:hAnsiTheme="minorHAnsi"/>
        </w:rPr>
      </w:pPr>
      <w:r>
        <w:t>T</w:t>
      </w:r>
      <w:r w:rsidR="004E786F" w:rsidRPr="008718B8">
        <w:t>he presence of wideband interferers</w:t>
      </w:r>
      <w:r w:rsidR="004E786F" w:rsidDel="004E786F">
        <w:t xml:space="preserve"> </w:t>
      </w:r>
      <w:r w:rsidR="004E786F">
        <w:t xml:space="preserve">can cause misdetection of multiple time-overlapping </w:t>
      </w:r>
      <w:r>
        <w:t>PDCCH/</w:t>
      </w:r>
      <w:r w:rsidR="004E786F">
        <w:t xml:space="preserve">PDSCH in case of wideband operation. </w:t>
      </w:r>
    </w:p>
    <w:p w14:paraId="1C3E9AD4" w14:textId="15381D82" w:rsidR="005045A9" w:rsidRPr="008A0EB7" w:rsidRDefault="005045A9" w:rsidP="00CF2B5C">
      <w:pPr>
        <w:pStyle w:val="BodyText"/>
        <w:rPr>
          <w:rFonts w:asciiTheme="minorHAnsi" w:hAnsiTheme="minorHAnsi" w:cstheme="minorHAnsi"/>
        </w:rPr>
      </w:pPr>
      <w:r w:rsidRPr="008A0EB7">
        <w:rPr>
          <w:rFonts w:asciiTheme="minorHAnsi" w:hAnsiTheme="minorHAnsi" w:cstheme="minorHAnsi"/>
        </w:rPr>
        <w:t>To eliminate the issues caused by the limited DAI combinations</w:t>
      </w:r>
      <w:r w:rsidR="008F1F78" w:rsidRPr="008A0EB7">
        <w:rPr>
          <w:rFonts w:asciiTheme="minorHAnsi" w:hAnsiTheme="minorHAnsi" w:cstheme="minorHAnsi"/>
        </w:rPr>
        <w:t xml:space="preserve">, </w:t>
      </w:r>
      <w:r w:rsidRPr="008A0EB7">
        <w:rPr>
          <w:rFonts w:asciiTheme="minorHAnsi" w:hAnsiTheme="minorHAnsi" w:cstheme="minorHAnsi"/>
        </w:rPr>
        <w:t>the DAI field in the DCI should be extended to accommodate for possibly missing more than 4 PDCCH transmissions.</w:t>
      </w:r>
    </w:p>
    <w:p w14:paraId="60590DB5" w14:textId="77777777" w:rsidR="00D43B7E" w:rsidRPr="00EE2927" w:rsidRDefault="005045A9" w:rsidP="00EE2927">
      <w:pPr>
        <w:pStyle w:val="Proposal"/>
        <w:ind w:left="2247"/>
      </w:pPr>
      <w:bookmarkStart w:id="7" w:name="_Toc7701969"/>
      <w:bookmarkStart w:id="8" w:name="_Toc16916378"/>
      <w:bookmarkStart w:id="9" w:name="_Toc16918856"/>
      <w:bookmarkStart w:id="10" w:name="_Toc19191355"/>
      <w:bookmarkStart w:id="11" w:name="_Toc20304112"/>
      <w:bookmarkStart w:id="12" w:name="_Toc20304172"/>
      <w:bookmarkStart w:id="13" w:name="_Toc20304439"/>
      <w:bookmarkStart w:id="14" w:name="_Toc20735249"/>
      <w:bookmarkStart w:id="15" w:name="_Toc21089953"/>
      <w:bookmarkStart w:id="16" w:name="_Toc21363888"/>
      <w:bookmarkStart w:id="17" w:name="_Toc24038252"/>
      <w:bookmarkStart w:id="18" w:name="_Toc24123730"/>
      <w:bookmarkStart w:id="19" w:name="_Toc24123821"/>
      <w:r w:rsidRPr="00EE2927">
        <w:t>DCIs for scheduling PDSCH should support larger DAI field as compared to Rel-15 NR DCI.</w:t>
      </w:r>
      <w:bookmarkEnd w:id="7"/>
      <w:bookmarkEnd w:id="8"/>
      <w:bookmarkEnd w:id="9"/>
      <w:bookmarkEnd w:id="10"/>
      <w:bookmarkEnd w:id="11"/>
      <w:bookmarkEnd w:id="12"/>
      <w:bookmarkEnd w:id="13"/>
      <w:bookmarkEnd w:id="14"/>
      <w:bookmarkEnd w:id="15"/>
      <w:bookmarkEnd w:id="16"/>
      <w:bookmarkEnd w:id="17"/>
      <w:bookmarkEnd w:id="18"/>
      <w:bookmarkEnd w:id="19"/>
    </w:p>
    <w:p w14:paraId="011A4C43" w14:textId="77777777" w:rsidR="00D43B7E" w:rsidRDefault="00D43B7E" w:rsidP="00D43B7E">
      <w:pPr>
        <w:pStyle w:val="Proposal"/>
        <w:numPr>
          <w:ilvl w:val="0"/>
          <w:numId w:val="0"/>
        </w:numPr>
        <w:ind w:left="2247" w:hanging="1304"/>
        <w:rPr>
          <w:rFonts w:asciiTheme="minorHAnsi" w:hAnsiTheme="minorHAnsi" w:cstheme="minorHAnsi"/>
        </w:rPr>
      </w:pPr>
    </w:p>
    <w:p w14:paraId="4F554C0E" w14:textId="77777777" w:rsidR="00D43B7E" w:rsidRDefault="00D43B7E" w:rsidP="00D43B7E">
      <w:pPr>
        <w:pStyle w:val="Proposal"/>
        <w:numPr>
          <w:ilvl w:val="0"/>
          <w:numId w:val="0"/>
        </w:numPr>
        <w:ind w:left="2247" w:hanging="1304"/>
        <w:rPr>
          <w:rFonts w:asciiTheme="minorHAnsi" w:hAnsiTheme="minorHAnsi" w:cstheme="minorHAnsi"/>
        </w:rPr>
      </w:pPr>
    </w:p>
    <w:p w14:paraId="1DDB7491" w14:textId="77777777" w:rsidR="00D43B7E" w:rsidRDefault="00D43B7E" w:rsidP="00D43B7E">
      <w:pPr>
        <w:pStyle w:val="Proposal"/>
        <w:numPr>
          <w:ilvl w:val="0"/>
          <w:numId w:val="0"/>
        </w:numPr>
        <w:ind w:left="2247" w:hanging="1304"/>
        <w:rPr>
          <w:rFonts w:asciiTheme="minorHAnsi" w:hAnsiTheme="minorHAnsi" w:cstheme="minorHAnsi"/>
        </w:rPr>
      </w:pPr>
    </w:p>
    <w:p w14:paraId="28C67F9F" w14:textId="165389D5" w:rsidR="005045A9" w:rsidRPr="005D7F44" w:rsidRDefault="005045A9" w:rsidP="00EE2927">
      <w:pPr>
        <w:pStyle w:val="Proposal"/>
        <w:numPr>
          <w:ilvl w:val="0"/>
          <w:numId w:val="0"/>
        </w:numPr>
        <w:tabs>
          <w:tab w:val="num" w:pos="2204"/>
        </w:tabs>
        <w:ind w:left="2247" w:hanging="1304"/>
        <w:rPr>
          <w:rFonts w:asciiTheme="minorHAnsi" w:hAnsiTheme="minorHAnsi" w:cstheme="minorHAnsi"/>
        </w:rPr>
      </w:pPr>
      <w:r w:rsidRPr="005D7F44">
        <w:rPr>
          <w:rFonts w:asciiTheme="minorHAnsi" w:hAnsiTheme="minorHAnsi" w:cstheme="minorHAnsi"/>
        </w:rPr>
        <w:t xml:space="preserve">  </w:t>
      </w:r>
      <w:r w:rsidRPr="005D7F44">
        <w:rPr>
          <w:rFonts w:asciiTheme="minorHAnsi" w:hAnsiTheme="minorHAnsi" w:cstheme="minorHAnsi"/>
        </w:rPr>
        <w:tab/>
      </w:r>
      <w:bookmarkStart w:id="20" w:name="_Toc4629828"/>
      <w:bookmarkStart w:id="21" w:name="_Toc4786224"/>
      <w:bookmarkEnd w:id="20"/>
      <w:bookmarkEnd w:id="21"/>
    </w:p>
    <w:p w14:paraId="2BFF95A7" w14:textId="7E921FF1" w:rsidR="00F95613" w:rsidRPr="00EE2927" w:rsidRDefault="00F95613">
      <w:pPr>
        <w:pStyle w:val="Heading3"/>
      </w:pPr>
      <w:r w:rsidRPr="00EE2927">
        <w:lastRenderedPageBreak/>
        <w:t xml:space="preserve">Non-Numerical K1 value </w:t>
      </w:r>
    </w:p>
    <w:p w14:paraId="5151BDC2" w14:textId="77777777" w:rsidR="00545E44" w:rsidRDefault="00545E44" w:rsidP="00EE2927">
      <w:pPr>
        <w:jc w:val="both"/>
      </w:pPr>
    </w:p>
    <w:p w14:paraId="4D62FE4B" w14:textId="48110DF8" w:rsidR="00D43B7E" w:rsidRPr="008A0EB7" w:rsidRDefault="00596AF3" w:rsidP="00EE2927">
      <w:pPr>
        <w:jc w:val="both"/>
      </w:pPr>
      <w:r w:rsidRPr="008A0EB7">
        <w:t>D</w:t>
      </w:r>
      <w:r w:rsidR="00D43B7E" w:rsidRPr="008A0EB7">
        <w:t xml:space="preserve">uring last meeting </w:t>
      </w:r>
      <w:r w:rsidR="007466A9" w:rsidRPr="008A0EB7">
        <w:t xml:space="preserve">[1] </w:t>
      </w:r>
      <w:r w:rsidR="00D43B7E" w:rsidRPr="008A0EB7">
        <w:t xml:space="preserve">the following agreement was made: </w:t>
      </w:r>
    </w:p>
    <w:p w14:paraId="0DB2CFF6" w14:textId="77777777" w:rsidR="00596AF3" w:rsidRPr="008A0EB7" w:rsidRDefault="00596AF3" w:rsidP="00EE2927">
      <w:pPr>
        <w:jc w:val="both"/>
        <w:rPr>
          <w:lang w:eastAsia="x-none"/>
        </w:rPr>
      </w:pPr>
      <w:r w:rsidRPr="008A0EB7">
        <w:rPr>
          <w:highlight w:val="green"/>
          <w:lang w:eastAsia="x-none"/>
        </w:rPr>
        <w:t>Agreement:</w:t>
      </w:r>
    </w:p>
    <w:p w14:paraId="1FE0D527" w14:textId="77777777" w:rsidR="00596AF3" w:rsidRPr="008A0EB7" w:rsidRDefault="00596AF3" w:rsidP="00EE2927">
      <w:pPr>
        <w:jc w:val="both"/>
        <w:rPr>
          <w:rFonts w:eastAsia="Times New Roman"/>
          <w:bCs/>
          <w:lang w:eastAsia="zh-CN"/>
        </w:rPr>
      </w:pPr>
      <w:r w:rsidRPr="008A0EB7">
        <w:rPr>
          <w:rFonts w:eastAsia="Times New Roman"/>
          <w:bCs/>
          <w:lang w:eastAsia="zh-CN"/>
        </w:rPr>
        <w:t>For enhanced dynamic codebook operation, HARQ-ACK timing for a PDSCH scheduled with a non-numerical value for K1 is derived by the next DL DCI scheduling PDSCH with a numerical value for K1 triggering feedback for PDSCH group(s) including the PDSCH group of this PDSCH.</w:t>
      </w:r>
    </w:p>
    <w:p w14:paraId="0F5E0945" w14:textId="77777777" w:rsidR="00596AF3" w:rsidRDefault="00596AF3" w:rsidP="00BF14D5">
      <w:pPr>
        <w:numPr>
          <w:ilvl w:val="0"/>
          <w:numId w:val="19"/>
        </w:numPr>
        <w:spacing w:after="0" w:line="240" w:lineRule="auto"/>
        <w:jc w:val="both"/>
        <w:rPr>
          <w:rFonts w:eastAsia="Times New Roman"/>
          <w:bCs/>
          <w:lang w:eastAsia="zh-CN"/>
        </w:rPr>
      </w:pPr>
      <w:r w:rsidRPr="001C697A">
        <w:rPr>
          <w:rFonts w:eastAsia="Times New Roman"/>
          <w:bCs/>
          <w:lang w:eastAsia="zh-CN"/>
        </w:rPr>
        <w:t xml:space="preserve">FFS: </w:t>
      </w:r>
      <w:r>
        <w:rPr>
          <w:rFonts w:eastAsia="Times New Roman"/>
          <w:bCs/>
          <w:lang w:eastAsia="zh-CN"/>
        </w:rPr>
        <w:t xml:space="preserve">additional methods including </w:t>
      </w:r>
    </w:p>
    <w:p w14:paraId="25965636" w14:textId="77777777" w:rsidR="00596AF3" w:rsidRPr="001C697A" w:rsidRDefault="00596AF3" w:rsidP="00BF14D5">
      <w:pPr>
        <w:numPr>
          <w:ilvl w:val="1"/>
          <w:numId w:val="19"/>
        </w:numPr>
        <w:spacing w:after="0" w:line="240" w:lineRule="auto"/>
        <w:jc w:val="both"/>
        <w:rPr>
          <w:rFonts w:eastAsia="Times New Roman"/>
          <w:bCs/>
          <w:lang w:eastAsia="zh-CN"/>
        </w:rPr>
      </w:pPr>
      <w:r w:rsidRPr="001C697A">
        <w:rPr>
          <w:rFonts w:eastAsia="Times New Roman"/>
          <w:bCs/>
          <w:lang w:eastAsia="zh-CN"/>
        </w:rPr>
        <w:t>based on an earlier DCI</w:t>
      </w:r>
    </w:p>
    <w:p w14:paraId="13762DA9" w14:textId="77777777" w:rsidR="00596AF3" w:rsidRDefault="00596AF3" w:rsidP="00BF14D5">
      <w:pPr>
        <w:numPr>
          <w:ilvl w:val="1"/>
          <w:numId w:val="19"/>
        </w:numPr>
        <w:spacing w:after="0" w:line="240" w:lineRule="auto"/>
        <w:jc w:val="both"/>
        <w:rPr>
          <w:rFonts w:eastAsia="Times New Roman"/>
          <w:bCs/>
          <w:lang w:eastAsia="zh-CN"/>
        </w:rPr>
      </w:pPr>
      <w:r w:rsidRPr="001C697A">
        <w:rPr>
          <w:rFonts w:eastAsia="Times New Roman"/>
          <w:bCs/>
          <w:lang w:eastAsia="zh-CN"/>
        </w:rPr>
        <w:t>one-shot HARQ-ACK feedback</w:t>
      </w:r>
    </w:p>
    <w:p w14:paraId="37C27048" w14:textId="77777777" w:rsidR="00596AF3" w:rsidRPr="001C697A" w:rsidRDefault="00596AF3" w:rsidP="00BF14D5">
      <w:pPr>
        <w:numPr>
          <w:ilvl w:val="0"/>
          <w:numId w:val="19"/>
        </w:numPr>
        <w:spacing w:after="0" w:line="240" w:lineRule="auto"/>
        <w:jc w:val="both"/>
        <w:rPr>
          <w:rFonts w:eastAsia="Times New Roman"/>
          <w:bCs/>
          <w:lang w:eastAsia="zh-CN"/>
        </w:rPr>
      </w:pPr>
      <w:r>
        <w:rPr>
          <w:rFonts w:eastAsia="Times New Roman"/>
          <w:bCs/>
          <w:lang w:eastAsia="zh-CN"/>
        </w:rPr>
        <w:t>FFS: dependency on NFI</w:t>
      </w:r>
    </w:p>
    <w:p w14:paraId="61010096" w14:textId="77777777" w:rsidR="00D43B7E" w:rsidRDefault="00D43B7E" w:rsidP="00EE2927">
      <w:pPr>
        <w:jc w:val="both"/>
      </w:pPr>
    </w:p>
    <w:p w14:paraId="72C3B6F6" w14:textId="63B149A2" w:rsidR="00596AF3" w:rsidRPr="008A0EB7" w:rsidRDefault="00596AF3" w:rsidP="00EE2927">
      <w:pPr>
        <w:jc w:val="both"/>
      </w:pPr>
      <w:r w:rsidRPr="008A0EB7">
        <w:t xml:space="preserve">The agreement </w:t>
      </w:r>
      <w:r w:rsidR="003E2DAC" w:rsidRPr="008A0EB7">
        <w:t xml:space="preserve">only covers the case of </w:t>
      </w:r>
      <w:r w:rsidRPr="008A0EB7">
        <w:t xml:space="preserve">non-numerical K1 value used in combination with </w:t>
      </w:r>
      <w:r w:rsidR="006D7353" w:rsidRPr="008A0EB7">
        <w:t>enhanced dynamic codebook</w:t>
      </w:r>
      <w:r w:rsidR="00AD40F1">
        <w:t xml:space="preserve"> with grouping enabled</w:t>
      </w:r>
      <w:r w:rsidR="006D7353" w:rsidRPr="008A0EB7">
        <w:t xml:space="preserve">. </w:t>
      </w:r>
      <w:r w:rsidR="003E2DAC" w:rsidRPr="008A0EB7">
        <w:t>T</w:t>
      </w:r>
      <w:r w:rsidR="006D7353" w:rsidRPr="008A0EB7">
        <w:t xml:space="preserve">he case in which </w:t>
      </w:r>
      <w:r w:rsidR="007B2C33">
        <w:t>PDSCH grouping</w:t>
      </w:r>
      <w:r w:rsidR="00DE2B3F" w:rsidRPr="008A0EB7">
        <w:t xml:space="preserve"> is not configured should also be covered. </w:t>
      </w:r>
    </w:p>
    <w:p w14:paraId="292AFB04" w14:textId="3B32C4EC" w:rsidR="00DE2B3F" w:rsidRPr="00870827" w:rsidRDefault="0039749D" w:rsidP="00EE2927">
      <w:pPr>
        <w:pStyle w:val="Proposal"/>
        <w:jc w:val="both"/>
      </w:pPr>
      <w:bookmarkStart w:id="22" w:name="_Toc20304113"/>
      <w:bookmarkStart w:id="23" w:name="_Toc20304173"/>
      <w:bookmarkStart w:id="24" w:name="_Toc20304440"/>
      <w:bookmarkStart w:id="25" w:name="_Toc20735250"/>
      <w:bookmarkStart w:id="26" w:name="_Toc21089954"/>
      <w:bookmarkStart w:id="27" w:name="_Toc21363889"/>
      <w:bookmarkStart w:id="28" w:name="_Toc24038253"/>
      <w:bookmarkStart w:id="29" w:name="_Toc24123731"/>
      <w:bookmarkStart w:id="30" w:name="_Toc24123822"/>
      <w:r>
        <w:t xml:space="preserve">For dynamic codebook, </w:t>
      </w:r>
      <w:r w:rsidR="00FD4F0C" w:rsidRPr="00EE2927">
        <w:t>HARQ-ACK timing for a PDSCH scheduled with a non-numerical value for K1 is derived by the next DL DCI scheduling PDSCH with a numerical value for K1</w:t>
      </w:r>
      <w:r w:rsidR="005C1CD9" w:rsidRPr="00EE2927">
        <w:t>.</w:t>
      </w:r>
      <w:bookmarkEnd w:id="22"/>
      <w:bookmarkEnd w:id="23"/>
      <w:bookmarkEnd w:id="24"/>
      <w:bookmarkEnd w:id="25"/>
      <w:bookmarkEnd w:id="26"/>
      <w:bookmarkEnd w:id="27"/>
      <w:bookmarkEnd w:id="28"/>
      <w:bookmarkEnd w:id="29"/>
      <w:bookmarkEnd w:id="30"/>
    </w:p>
    <w:p w14:paraId="5A746E35" w14:textId="1D5E8A8D" w:rsidR="00D760DD" w:rsidRPr="00D760DD" w:rsidRDefault="00BA6B5B" w:rsidP="002422CF">
      <w:pPr>
        <w:pStyle w:val="Proposal"/>
        <w:jc w:val="both"/>
      </w:pPr>
      <w:bookmarkStart w:id="31" w:name="_Toc20304114"/>
      <w:bookmarkStart w:id="32" w:name="_Toc20304174"/>
      <w:bookmarkStart w:id="33" w:name="_Toc20304441"/>
      <w:bookmarkStart w:id="34" w:name="_Toc20735251"/>
      <w:bookmarkStart w:id="35" w:name="_Toc21089955"/>
      <w:bookmarkStart w:id="36" w:name="_Toc21363890"/>
      <w:bookmarkStart w:id="37" w:name="_Toc24038254"/>
      <w:bookmarkStart w:id="38" w:name="_Toc24123732"/>
      <w:bookmarkStart w:id="39" w:name="_Toc24123823"/>
      <w:r w:rsidRPr="00870827">
        <w:t>T</w:t>
      </w:r>
      <w:r w:rsidRPr="00EE2927">
        <w:t xml:space="preserve">he </w:t>
      </w:r>
      <w:r w:rsidRPr="00870827">
        <w:t>C/T-</w:t>
      </w:r>
      <w:r w:rsidRPr="00EE2927">
        <w:t>DAI value for the first PDSCH with a valid PDSCH-to-HARQ-timing-indicator counts also the previous PDSCH(s) with non-numerical PDSCH-to-HARQ-timing-indicator since the last PDSCH with valid PDSCH-to-HARQ-timing-indicator.</w:t>
      </w:r>
      <w:bookmarkEnd w:id="31"/>
      <w:bookmarkEnd w:id="32"/>
      <w:bookmarkEnd w:id="33"/>
      <w:bookmarkEnd w:id="34"/>
      <w:bookmarkEnd w:id="35"/>
      <w:bookmarkEnd w:id="36"/>
      <w:bookmarkEnd w:id="37"/>
      <w:bookmarkEnd w:id="38"/>
      <w:bookmarkEnd w:id="39"/>
      <w:r w:rsidRPr="00EE2927">
        <w:t xml:space="preserve"> </w:t>
      </w:r>
    </w:p>
    <w:p w14:paraId="34F4B8A2" w14:textId="4F6F1F4F" w:rsidR="00F419A3" w:rsidRPr="00CD2512" w:rsidRDefault="00CD2512" w:rsidP="00CD2512">
      <w:pPr>
        <w:pStyle w:val="Heading3"/>
      </w:pPr>
      <w:r w:rsidRPr="008A0EB7">
        <w:t>Enhance</w:t>
      </w:r>
      <w:r>
        <w:rPr>
          <w:lang w:val="en-150"/>
        </w:rPr>
        <w:t xml:space="preserve">d </w:t>
      </w:r>
      <w:r w:rsidR="00EE1A99" w:rsidRPr="008A0EB7">
        <w:t xml:space="preserve">Dynamic code book </w:t>
      </w:r>
    </w:p>
    <w:p w14:paraId="38064080" w14:textId="5E63445A" w:rsidR="00A86BF9" w:rsidRPr="00A86BF9" w:rsidRDefault="00A86BF9" w:rsidP="00A86BF9">
      <w:pPr>
        <w:pStyle w:val="Heading4"/>
      </w:pPr>
      <w:r>
        <w:rPr>
          <w:lang w:val="en-150"/>
        </w:rPr>
        <w:t xml:space="preserve">Remaining aspects for </w:t>
      </w:r>
      <w:r w:rsidRPr="00A86BF9">
        <w:t xml:space="preserve">Non fall back DCI </w:t>
      </w:r>
    </w:p>
    <w:p w14:paraId="1E4EBE5F" w14:textId="77777777" w:rsidR="00061E6C" w:rsidRPr="00061E6C" w:rsidRDefault="00061E6C" w:rsidP="00F419A3"/>
    <w:p w14:paraId="2D6455D9" w14:textId="77777777" w:rsidR="00061E6C" w:rsidRDefault="00061E6C" w:rsidP="00061E6C">
      <w:pPr>
        <w:kinsoku w:val="0"/>
        <w:overflowPunct w:val="0"/>
        <w:adjustRightInd w:val="0"/>
        <w:snapToGrid w:val="0"/>
        <w:spacing w:after="60" w:line="240" w:lineRule="auto"/>
        <w:jc w:val="both"/>
        <w:rPr>
          <w:rFonts w:cstheme="minorHAnsi"/>
        </w:rPr>
      </w:pPr>
      <w:r>
        <w:rPr>
          <w:rFonts w:cstheme="minorHAnsi"/>
        </w:rPr>
        <w:t>When more than one PDSCH group exists in a HARQ-ACK reporting feedback, the placement of HARQ-ACK feedback for the two groups is ordered based on increasing group index.</w:t>
      </w:r>
    </w:p>
    <w:p w14:paraId="796550D9" w14:textId="5AD59510" w:rsidR="00061E6C" w:rsidRDefault="00061E6C" w:rsidP="00F419A3"/>
    <w:p w14:paraId="4EC47FBF" w14:textId="2CCABE27" w:rsidR="00061E6C" w:rsidRPr="00061E6C" w:rsidRDefault="002D1F5B" w:rsidP="002562FD">
      <w:pPr>
        <w:pStyle w:val="Proposal"/>
        <w:rPr>
          <w:lang w:eastAsia="x-none"/>
        </w:rPr>
      </w:pPr>
      <w:bookmarkStart w:id="40" w:name="_Toc24038255"/>
      <w:bookmarkStart w:id="41" w:name="_Toc24123733"/>
      <w:bookmarkStart w:id="42" w:name="_Toc24123824"/>
      <w:r w:rsidRPr="002D1F5B">
        <w:rPr>
          <w:lang w:eastAsia="x-none"/>
        </w:rPr>
        <w:t>For enhanced dynamic HARQ-ACK codebook, when more than one PDSCH group exists in a HARQ-ACK feedback report, the placement of HARQ-ACK feedback for the two groups is ordered based on increasing group index.</w:t>
      </w:r>
      <w:bookmarkEnd w:id="40"/>
      <w:bookmarkEnd w:id="41"/>
      <w:bookmarkEnd w:id="42"/>
    </w:p>
    <w:p w14:paraId="0261F544" w14:textId="5949BBD0" w:rsidR="00013957" w:rsidRDefault="00013957" w:rsidP="00013957">
      <w:pPr>
        <w:pStyle w:val="Heading4"/>
      </w:pPr>
      <w:bookmarkStart w:id="43" w:name="_Toc19191357"/>
      <w:bookmarkStart w:id="44" w:name="_Toc20304116"/>
      <w:bookmarkStart w:id="45" w:name="_Toc20304176"/>
      <w:bookmarkStart w:id="46" w:name="_Toc20304443"/>
      <w:bookmarkStart w:id="47" w:name="_Toc20735253"/>
      <w:bookmarkStart w:id="48" w:name="_Toc19191358"/>
      <w:bookmarkStart w:id="49" w:name="_Toc20304117"/>
      <w:bookmarkStart w:id="50" w:name="_Toc20304177"/>
      <w:bookmarkStart w:id="51" w:name="_Toc20304444"/>
      <w:bookmarkStart w:id="52" w:name="_Toc20735254"/>
      <w:bookmarkStart w:id="53" w:name="_Toc19191359"/>
      <w:bookmarkStart w:id="54" w:name="_Toc20304118"/>
      <w:bookmarkStart w:id="55" w:name="_Toc20304178"/>
      <w:bookmarkStart w:id="56" w:name="_Toc20304445"/>
      <w:bookmarkStart w:id="57" w:name="_Toc20735255"/>
      <w:bookmarkStart w:id="58" w:name="_Toc20304125"/>
      <w:bookmarkStart w:id="59" w:name="_Toc20304185"/>
      <w:bookmarkStart w:id="60" w:name="_Toc20304452"/>
      <w:bookmarkStart w:id="61" w:name="_Toc20735262"/>
      <w:bookmarkStart w:id="62" w:name="_Toc19191365"/>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2422CF">
        <w:t xml:space="preserve">Fall back DCI </w:t>
      </w:r>
    </w:p>
    <w:p w14:paraId="2587FF7A" w14:textId="6FC48DC1" w:rsidR="00013957" w:rsidRPr="00BF14D5" w:rsidRDefault="00013957"/>
    <w:p w14:paraId="44183934" w14:textId="725D5A66" w:rsidR="00C01AFB" w:rsidRDefault="00C01AFB" w:rsidP="00C01AFB">
      <w:pPr>
        <w:rPr>
          <w:lang w:eastAsia="x-none"/>
        </w:rPr>
      </w:pPr>
      <w:r w:rsidRPr="005769DB">
        <w:rPr>
          <w:highlight w:val="green"/>
          <w:lang w:eastAsia="x-none"/>
        </w:rPr>
        <w:t>Agreement:</w:t>
      </w:r>
    </w:p>
    <w:p w14:paraId="705758AE" w14:textId="77777777" w:rsidR="00C01AFB" w:rsidRDefault="00C01AFB" w:rsidP="00C01AFB">
      <w:pPr>
        <w:rPr>
          <w:lang w:eastAsia="x-none"/>
        </w:rPr>
      </w:pPr>
      <w:r w:rsidRPr="005E03F0">
        <w:rPr>
          <w:lang w:eastAsia="x-none"/>
        </w:rPr>
        <w:t>If enhanced dynamic codebook is configured, for a PDSCH scheduled by DL DCI 1_0:</w:t>
      </w:r>
    </w:p>
    <w:p w14:paraId="61F1EE6A" w14:textId="77777777" w:rsidR="00C01AFB" w:rsidRDefault="00C01AFB" w:rsidP="00BF14D5">
      <w:pPr>
        <w:numPr>
          <w:ilvl w:val="0"/>
          <w:numId w:val="21"/>
        </w:numPr>
        <w:spacing w:after="0" w:line="240" w:lineRule="auto"/>
        <w:rPr>
          <w:lang w:eastAsia="x-none"/>
        </w:rPr>
      </w:pPr>
      <w:r w:rsidRPr="005E03F0">
        <w:rPr>
          <w:lang w:eastAsia="x-none"/>
        </w:rPr>
        <w:t>UE reports HARQ-ACK feedback for the corresponding PDSCH as part of the PDSCH group #0</w:t>
      </w:r>
    </w:p>
    <w:p w14:paraId="1954453B" w14:textId="77777777" w:rsidR="00C01AFB" w:rsidRPr="002562FD" w:rsidRDefault="00C01AFB" w:rsidP="00BF14D5">
      <w:pPr>
        <w:numPr>
          <w:ilvl w:val="1"/>
          <w:numId w:val="21"/>
        </w:numPr>
        <w:spacing w:after="0" w:line="240" w:lineRule="auto"/>
        <w:rPr>
          <w:highlight w:val="yellow"/>
          <w:lang w:eastAsia="x-none"/>
        </w:rPr>
      </w:pPr>
      <w:r w:rsidRPr="002562FD">
        <w:rPr>
          <w:highlight w:val="yellow"/>
          <w:lang w:eastAsia="x-none"/>
        </w:rPr>
        <w:t>FFS: whether/how to define a rule for UE to determine NFI if NFI is not explicitly signalled</w:t>
      </w:r>
    </w:p>
    <w:p w14:paraId="50F0B16A" w14:textId="77777777" w:rsidR="00C01AFB" w:rsidRDefault="00C01AFB" w:rsidP="00BF14D5">
      <w:pPr>
        <w:numPr>
          <w:ilvl w:val="0"/>
          <w:numId w:val="21"/>
        </w:numPr>
        <w:spacing w:after="0" w:line="240" w:lineRule="auto"/>
        <w:rPr>
          <w:lang w:eastAsia="x-none"/>
        </w:rPr>
      </w:pPr>
      <w:r w:rsidRPr="005E03F0">
        <w:rPr>
          <w:rFonts w:hint="eastAsia"/>
          <w:lang w:eastAsia="x-none"/>
        </w:rPr>
        <w:t xml:space="preserve">The fallback DCI does not support </w:t>
      </w:r>
      <w:r w:rsidRPr="005E03F0">
        <w:rPr>
          <w:lang w:eastAsia="x-none"/>
        </w:rPr>
        <w:t>signalling</w:t>
      </w:r>
      <w:r w:rsidRPr="005E03F0">
        <w:rPr>
          <w:rFonts w:hint="eastAsia"/>
          <w:lang w:eastAsia="x-none"/>
        </w:rPr>
        <w:t xml:space="preserve"> </w:t>
      </w:r>
      <w:r w:rsidRPr="005E03F0">
        <w:rPr>
          <w:lang w:eastAsia="x-none"/>
        </w:rPr>
        <w:t>a non-numerical value of K1</w:t>
      </w:r>
    </w:p>
    <w:p w14:paraId="3CD30633" w14:textId="3C002FF6" w:rsidR="00C01AFB" w:rsidRPr="002562FD" w:rsidRDefault="00C01AFB" w:rsidP="00BF14D5">
      <w:pPr>
        <w:numPr>
          <w:ilvl w:val="0"/>
          <w:numId w:val="21"/>
        </w:numPr>
        <w:spacing w:after="0" w:line="240" w:lineRule="auto"/>
        <w:rPr>
          <w:highlight w:val="yellow"/>
          <w:lang w:eastAsia="x-none"/>
        </w:rPr>
      </w:pPr>
      <w:r w:rsidRPr="002562FD">
        <w:rPr>
          <w:highlight w:val="yellow"/>
          <w:lang w:eastAsia="x-none"/>
        </w:rPr>
        <w:t>FFS: Whether NFI is introduced in DCI 1_0 for the purpose of enhanced dynamic HARQ codebook operation</w:t>
      </w:r>
    </w:p>
    <w:p w14:paraId="098D27E7" w14:textId="5C8C95A0" w:rsidR="006E66F0" w:rsidRPr="00000032" w:rsidRDefault="002D5A7B" w:rsidP="00000032">
      <w:pPr>
        <w:spacing w:before="240"/>
        <w:jc w:val="both"/>
        <w:rPr>
          <w:rFonts w:cstheme="minorHAnsi"/>
        </w:rPr>
      </w:pPr>
      <w:r w:rsidRPr="002422CF">
        <w:rPr>
          <w:rFonts w:cstheme="minorHAnsi"/>
        </w:rPr>
        <w:lastRenderedPageBreak/>
        <w:t>The fallback format 1_0 is smaller in size, supports a limited set of NR functionality, and the set of information fields is in general not configurable, resulting in a (more or less) fixed DCI size. Following the same reasoning, indicating the new fields related to dynamic codebook enhancement in the DL fall back DCI is not motivated.</w:t>
      </w:r>
    </w:p>
    <w:p w14:paraId="5E233FD7" w14:textId="30F1E72B" w:rsidR="003C3D57" w:rsidRDefault="006E66F0" w:rsidP="006E66F0">
      <w:pPr>
        <w:pStyle w:val="Proposal"/>
      </w:pPr>
      <w:bookmarkStart w:id="63" w:name="_Toc24038256"/>
      <w:bookmarkStart w:id="64" w:name="_Toc24123734"/>
      <w:bookmarkStart w:id="65" w:name="_Toc24123825"/>
      <w:r>
        <w:rPr>
          <w:lang w:eastAsia="x-none"/>
        </w:rPr>
        <w:t xml:space="preserve">NFI </w:t>
      </w:r>
      <w:r w:rsidRPr="005E03F0">
        <w:rPr>
          <w:lang w:eastAsia="x-none"/>
        </w:rPr>
        <w:t>is</w:t>
      </w:r>
      <w:r>
        <w:rPr>
          <w:lang w:eastAsia="x-none"/>
        </w:rPr>
        <w:t xml:space="preserve"> not</w:t>
      </w:r>
      <w:r w:rsidRPr="005E03F0">
        <w:rPr>
          <w:lang w:eastAsia="x-none"/>
        </w:rPr>
        <w:t xml:space="preserve"> introduced in DCI 1_0</w:t>
      </w:r>
      <w:r>
        <w:rPr>
          <w:lang w:eastAsia="x-none"/>
        </w:rPr>
        <w:t>.</w:t>
      </w:r>
      <w:bookmarkEnd w:id="63"/>
      <w:bookmarkEnd w:id="64"/>
      <w:bookmarkEnd w:id="65"/>
      <w:r>
        <w:rPr>
          <w:lang w:eastAsia="x-none"/>
        </w:rPr>
        <w:t xml:space="preserve"> </w:t>
      </w:r>
    </w:p>
    <w:p w14:paraId="4B3E3BDB" w14:textId="1B65C99D" w:rsidR="00000032" w:rsidRPr="00000032" w:rsidRDefault="00000032" w:rsidP="00000032">
      <w:pPr>
        <w:spacing w:before="240"/>
        <w:jc w:val="both"/>
        <w:rPr>
          <w:rFonts w:cstheme="minorHAnsi"/>
        </w:rPr>
      </w:pPr>
      <w:r w:rsidRPr="00000032">
        <w:rPr>
          <w:rFonts w:cstheme="minorHAnsi"/>
        </w:rPr>
        <w:t>For the rule for UE to determine NFI, we propose the following:</w:t>
      </w:r>
    </w:p>
    <w:p w14:paraId="222CB9B0" w14:textId="300AD106" w:rsidR="00925CB2" w:rsidRDefault="00A6393B" w:rsidP="006E66F0">
      <w:pPr>
        <w:pStyle w:val="Proposal"/>
        <w:rPr>
          <w:lang w:eastAsia="x-none"/>
        </w:rPr>
      </w:pPr>
      <w:bookmarkStart w:id="66" w:name="_Toc24038257"/>
      <w:bookmarkStart w:id="67" w:name="_Toc24123735"/>
      <w:bookmarkStart w:id="68" w:name="_Toc24123826"/>
      <w:r>
        <w:rPr>
          <w:lang w:eastAsia="x-none"/>
        </w:rPr>
        <w:t xml:space="preserve">The gNB can not </w:t>
      </w:r>
      <w:r w:rsidR="00724583">
        <w:rPr>
          <w:lang w:eastAsia="x-none"/>
        </w:rPr>
        <w:t xml:space="preserve">indicate </w:t>
      </w:r>
      <w:r>
        <w:rPr>
          <w:lang w:eastAsia="x-none"/>
        </w:rPr>
        <w:t xml:space="preserve">retransmission </w:t>
      </w:r>
      <w:r w:rsidR="00477B1D">
        <w:rPr>
          <w:lang w:eastAsia="x-none"/>
        </w:rPr>
        <w:t>of fee</w:t>
      </w:r>
      <w:r w:rsidR="00A40DEF">
        <w:rPr>
          <w:lang w:eastAsia="x-none"/>
        </w:rPr>
        <w:t>d</w:t>
      </w:r>
      <w:r w:rsidR="00477B1D">
        <w:rPr>
          <w:lang w:eastAsia="x-none"/>
        </w:rPr>
        <w:t>back using DCI 1_0.</w:t>
      </w:r>
      <w:bookmarkEnd w:id="66"/>
      <w:bookmarkEnd w:id="67"/>
      <w:bookmarkEnd w:id="68"/>
      <w:r w:rsidR="00477B1D">
        <w:rPr>
          <w:lang w:eastAsia="x-none"/>
        </w:rPr>
        <w:t xml:space="preserve"> </w:t>
      </w:r>
    </w:p>
    <w:p w14:paraId="2CC822EF" w14:textId="6FDA13AD" w:rsidR="00925CB2" w:rsidRPr="000C6584" w:rsidRDefault="00DB6A4C" w:rsidP="00BF14D5">
      <w:pPr>
        <w:pStyle w:val="Proposal"/>
        <w:numPr>
          <w:ilvl w:val="1"/>
          <w:numId w:val="2"/>
        </w:numPr>
        <w:rPr>
          <w:lang w:eastAsia="x-none"/>
        </w:rPr>
      </w:pPr>
      <w:bookmarkStart w:id="69" w:name="_Toc24038258"/>
      <w:bookmarkStart w:id="70" w:name="_Toc24123736"/>
      <w:bookmarkStart w:id="71" w:name="_Toc24123827"/>
      <w:r w:rsidRPr="00BF14D5">
        <w:rPr>
          <w:lang w:eastAsia="x-none"/>
        </w:rPr>
        <w:t xml:space="preserve">If the UE </w:t>
      </w:r>
      <w:r w:rsidR="00873324" w:rsidRPr="00BF14D5">
        <w:rPr>
          <w:lang w:eastAsia="x-none"/>
        </w:rPr>
        <w:t>detects a</w:t>
      </w:r>
      <w:r w:rsidR="00FC170F" w:rsidRPr="00BF14D5">
        <w:rPr>
          <w:lang w:eastAsia="x-none"/>
        </w:rPr>
        <w:t xml:space="preserve"> DCI</w:t>
      </w:r>
      <w:r w:rsidRPr="00BF14D5">
        <w:rPr>
          <w:lang w:eastAsia="x-none"/>
        </w:rPr>
        <w:t xml:space="preserve"> </w:t>
      </w:r>
      <w:r w:rsidR="00FC170F" w:rsidRPr="00BF14D5">
        <w:rPr>
          <w:lang w:eastAsia="x-none"/>
        </w:rPr>
        <w:t>that indicates a</w:t>
      </w:r>
      <w:r w:rsidR="00717548" w:rsidRPr="00BF14D5">
        <w:rPr>
          <w:lang w:eastAsia="x-none"/>
        </w:rPr>
        <w:t xml:space="preserve">n NFI corresponding to group 0 </w:t>
      </w:r>
      <w:r w:rsidR="009C3419" w:rsidRPr="006D2C77">
        <w:rPr>
          <w:lang w:eastAsia="x-none"/>
        </w:rPr>
        <w:t>since the last scheduled PUCCH that includes feedback for group 0 and before the PUCCH occasion that includes feedback corresponding to PDSCH scheduled with the fallback DCI</w:t>
      </w:r>
      <w:r w:rsidR="007A18B1" w:rsidRPr="00BF14D5">
        <w:rPr>
          <w:lang w:eastAsia="x-none"/>
        </w:rPr>
        <w:t>, the UE follows the indicated NFI to determine</w:t>
      </w:r>
      <w:r w:rsidR="00255661" w:rsidRPr="00BF14D5">
        <w:rPr>
          <w:lang w:eastAsia="x-none"/>
        </w:rPr>
        <w:t xml:space="preserve"> the </w:t>
      </w:r>
      <w:r w:rsidR="00EF70AF" w:rsidRPr="00BF14D5">
        <w:rPr>
          <w:lang w:eastAsia="x-none"/>
        </w:rPr>
        <w:t>codebook</w:t>
      </w:r>
      <w:r w:rsidR="00925CB2" w:rsidRPr="00BF14D5">
        <w:rPr>
          <w:lang w:eastAsia="x-none"/>
        </w:rPr>
        <w:t>.</w:t>
      </w:r>
      <w:bookmarkEnd w:id="69"/>
      <w:bookmarkEnd w:id="70"/>
      <w:bookmarkEnd w:id="71"/>
    </w:p>
    <w:p w14:paraId="761C5F33" w14:textId="3C7F0470" w:rsidR="001817EB" w:rsidRPr="00BF14D5" w:rsidRDefault="005E016B" w:rsidP="00BF14D5">
      <w:pPr>
        <w:pStyle w:val="Proposal"/>
        <w:numPr>
          <w:ilvl w:val="1"/>
          <w:numId w:val="2"/>
        </w:numPr>
        <w:rPr>
          <w:lang w:eastAsia="x-none"/>
        </w:rPr>
      </w:pPr>
      <w:bookmarkStart w:id="72" w:name="_Toc24038259"/>
      <w:bookmarkStart w:id="73" w:name="_Toc24123737"/>
      <w:bookmarkStart w:id="74" w:name="_Toc24123828"/>
      <w:r w:rsidRPr="00BF14D5">
        <w:rPr>
          <w:lang w:eastAsia="x-none"/>
        </w:rPr>
        <w:t xml:space="preserve">If the UE </w:t>
      </w:r>
      <w:r w:rsidR="00263D02" w:rsidRPr="00BF14D5">
        <w:rPr>
          <w:lang w:eastAsia="x-none"/>
        </w:rPr>
        <w:t>does not</w:t>
      </w:r>
      <w:r w:rsidRPr="00BF14D5">
        <w:rPr>
          <w:lang w:eastAsia="x-none"/>
        </w:rPr>
        <w:t xml:space="preserve"> detect a DCI that indicates an NFI corresponding to group 0</w:t>
      </w:r>
      <w:r w:rsidR="00263D02" w:rsidRPr="00BF14D5">
        <w:rPr>
          <w:lang w:eastAsia="x-none"/>
        </w:rPr>
        <w:t xml:space="preserve"> since the la</w:t>
      </w:r>
      <w:r w:rsidR="0026377D" w:rsidRPr="00BF14D5">
        <w:rPr>
          <w:lang w:eastAsia="x-none"/>
        </w:rPr>
        <w:t xml:space="preserve">st scheduled PUCCH that includes feedback for group 0 and </w:t>
      </w:r>
      <w:r w:rsidRPr="00BF14D5">
        <w:rPr>
          <w:lang w:eastAsia="x-none"/>
        </w:rPr>
        <w:t xml:space="preserve">before the PUCCH occasion that includes feedback corresponding to PDSCH scheduled with the fallback DCI, </w:t>
      </w:r>
      <w:r w:rsidR="00482F58" w:rsidRPr="00BF14D5">
        <w:rPr>
          <w:lang w:eastAsia="x-none"/>
        </w:rPr>
        <w:t>the UE assumes that the NFI is toggled.</w:t>
      </w:r>
      <w:bookmarkEnd w:id="73"/>
      <w:bookmarkEnd w:id="74"/>
      <w:r w:rsidR="00482F58" w:rsidRPr="00BF14D5">
        <w:rPr>
          <w:lang w:eastAsia="x-none"/>
        </w:rPr>
        <w:t xml:space="preserve"> </w:t>
      </w:r>
      <w:bookmarkEnd w:id="72"/>
    </w:p>
    <w:p w14:paraId="40F4140E" w14:textId="6D3F5913" w:rsidR="00013957" w:rsidRDefault="00013957" w:rsidP="002422CF">
      <w:pPr>
        <w:pStyle w:val="Heading4"/>
      </w:pPr>
      <w:r>
        <w:rPr>
          <w:lang w:val="en-150"/>
        </w:rPr>
        <w:t>UL</w:t>
      </w:r>
      <w:r w:rsidRPr="006D2C77">
        <w:t xml:space="preserve"> DCI </w:t>
      </w:r>
    </w:p>
    <w:p w14:paraId="65DE24C4" w14:textId="77777777" w:rsidR="00A06BF1" w:rsidRDefault="00A06BF1" w:rsidP="00A06BF1">
      <w:pPr>
        <w:rPr>
          <w:highlight w:val="green"/>
          <w:lang w:eastAsia="x-none"/>
        </w:rPr>
      </w:pPr>
      <w:bookmarkStart w:id="75" w:name="_Hlk23770148"/>
    </w:p>
    <w:p w14:paraId="7289943B" w14:textId="088EB5B9" w:rsidR="00A06BF1" w:rsidRDefault="00A06BF1" w:rsidP="00A06BF1">
      <w:pPr>
        <w:rPr>
          <w:lang w:eastAsia="x-none"/>
        </w:rPr>
      </w:pPr>
      <w:r w:rsidRPr="00797621">
        <w:rPr>
          <w:highlight w:val="green"/>
          <w:lang w:eastAsia="x-none"/>
        </w:rPr>
        <w:t>Agreement:</w:t>
      </w:r>
    </w:p>
    <w:p w14:paraId="2308998A" w14:textId="77777777" w:rsidR="00A06BF1" w:rsidRDefault="00A06BF1" w:rsidP="00A06BF1">
      <w:pPr>
        <w:rPr>
          <w:lang w:eastAsia="x-none"/>
        </w:rPr>
      </w:pPr>
      <w:r w:rsidRPr="00D83124">
        <w:rPr>
          <w:lang w:eastAsia="x-none"/>
        </w:rPr>
        <w:t xml:space="preserve">If enhanced dynamic codebook is configured, </w:t>
      </w:r>
      <w:r>
        <w:rPr>
          <w:lang w:eastAsia="x-none"/>
        </w:rPr>
        <w:t xml:space="preserve">the presence of UL DAI for an additional PDSCH group in the non-fallback DCI can be configured by RRC signalling. </w:t>
      </w:r>
    </w:p>
    <w:p w14:paraId="1BF71196" w14:textId="77777777" w:rsidR="00A06BF1" w:rsidRDefault="00A06BF1" w:rsidP="00BF14D5">
      <w:pPr>
        <w:numPr>
          <w:ilvl w:val="0"/>
          <w:numId w:val="21"/>
        </w:numPr>
        <w:spacing w:after="0" w:line="240" w:lineRule="auto"/>
        <w:rPr>
          <w:lang w:eastAsia="x-none"/>
        </w:rPr>
      </w:pPr>
      <w:r>
        <w:rPr>
          <w:lang w:eastAsia="x-none"/>
        </w:rPr>
        <w:t>FFS: If there is UL DAI configured to be present in the non-fallback DCI for only one group, to which group this UL DAI applies</w:t>
      </w:r>
    </w:p>
    <w:bookmarkEnd w:id="75"/>
    <w:p w14:paraId="336773DA" w14:textId="77777777" w:rsidR="00013957" w:rsidRPr="00EE2927" w:rsidRDefault="00013957" w:rsidP="002422CF">
      <w:pPr>
        <w:pStyle w:val="Proposal"/>
        <w:numPr>
          <w:ilvl w:val="0"/>
          <w:numId w:val="0"/>
        </w:numPr>
        <w:ind w:left="1304"/>
        <w:jc w:val="both"/>
      </w:pPr>
    </w:p>
    <w:p w14:paraId="43EFBB76" w14:textId="55D00294" w:rsidR="001B2546" w:rsidRPr="008A0EB7" w:rsidRDefault="00334CFA" w:rsidP="00EE2927">
      <w:pPr>
        <w:jc w:val="both"/>
        <w:rPr>
          <w:rFonts w:cstheme="minorHAnsi"/>
        </w:rPr>
      </w:pPr>
      <w:bookmarkStart w:id="76" w:name="_Toc20735266"/>
      <w:bookmarkEnd w:id="76"/>
      <w:r w:rsidRPr="008A0EB7">
        <w:rPr>
          <w:rFonts w:cstheme="minorHAnsi"/>
        </w:rPr>
        <w:t>In Rel-15, UL grant (DCI 0-1) contains two UL DAI, reflecting status of each latest DL total DAI</w:t>
      </w:r>
      <w:r w:rsidR="007335C7" w:rsidRPr="008A0EB7">
        <w:rPr>
          <w:rFonts w:cstheme="minorHAnsi"/>
        </w:rPr>
        <w:t xml:space="preserve">. </w:t>
      </w:r>
      <w:r w:rsidR="00266E10" w:rsidRPr="008A0EB7">
        <w:rPr>
          <w:rFonts w:cstheme="minorHAnsi"/>
        </w:rPr>
        <w:t xml:space="preserve">This was included to </w:t>
      </w:r>
      <w:r w:rsidR="00ED6DED" w:rsidRPr="008A0EB7">
        <w:rPr>
          <w:rFonts w:cstheme="minorHAnsi"/>
        </w:rPr>
        <w:t xml:space="preserve">improve dynamic codebook robustness against missed PDCCH, especially if the UE misses the last </w:t>
      </w:r>
      <w:r w:rsidR="00404EFF" w:rsidRPr="008A0EB7">
        <w:rPr>
          <w:rFonts w:cstheme="minorHAnsi"/>
        </w:rPr>
        <w:t>PDCCH before the requested feedback. In that case the UE will have wrong understanding of the C</w:t>
      </w:r>
      <w:r w:rsidR="00401896" w:rsidRPr="008A0EB7">
        <w:rPr>
          <w:rFonts w:cstheme="minorHAnsi"/>
        </w:rPr>
        <w:t xml:space="preserve">/T-DAI value. </w:t>
      </w:r>
      <w:r w:rsidR="00D41DA7" w:rsidRPr="008A0EB7">
        <w:rPr>
          <w:rFonts w:cstheme="minorHAnsi"/>
        </w:rPr>
        <w:t xml:space="preserve">If </w:t>
      </w:r>
      <w:r w:rsidR="001A5726" w:rsidRPr="008A0EB7">
        <w:rPr>
          <w:rFonts w:cstheme="minorHAnsi"/>
        </w:rPr>
        <w:t>enhanced dynamic codebook</w:t>
      </w:r>
      <w:r w:rsidR="00D41DA7" w:rsidRPr="008A0EB7">
        <w:rPr>
          <w:rFonts w:cstheme="minorHAnsi"/>
        </w:rPr>
        <w:t xml:space="preserve"> is configured</w:t>
      </w:r>
      <w:r w:rsidR="00E427E9">
        <w:rPr>
          <w:rFonts w:cstheme="minorHAnsi"/>
        </w:rPr>
        <w:t xml:space="preserve"> and the presence of UL DAI for an additional PDSCH group is not configured</w:t>
      </w:r>
      <w:r w:rsidR="00D41DA7" w:rsidRPr="008A0EB7">
        <w:rPr>
          <w:rFonts w:cstheme="minorHAnsi"/>
        </w:rPr>
        <w:t xml:space="preserve">, </w:t>
      </w:r>
      <w:r w:rsidR="00FA5439" w:rsidRPr="008A0EB7">
        <w:rPr>
          <w:rFonts w:cstheme="minorHAnsi"/>
        </w:rPr>
        <w:t xml:space="preserve">the existing DAI, should reflect status of each latest DL total DAI of the </w:t>
      </w:r>
      <w:r w:rsidR="00FA5439" w:rsidRPr="00EE2927">
        <w:rPr>
          <w:rFonts w:cstheme="minorHAnsi"/>
          <w:b/>
          <w:bCs/>
        </w:rPr>
        <w:t>latest transmitted group</w:t>
      </w:r>
      <w:r w:rsidR="00FA5439" w:rsidRPr="008A0EB7">
        <w:rPr>
          <w:rFonts w:cstheme="minorHAnsi"/>
        </w:rPr>
        <w:t xml:space="preserve"> that is included in the </w:t>
      </w:r>
      <w:r w:rsidR="001B2546" w:rsidRPr="008A0EB7">
        <w:rPr>
          <w:rFonts w:cstheme="minorHAnsi"/>
        </w:rPr>
        <w:t xml:space="preserve">HARQ-ACK report. </w:t>
      </w:r>
    </w:p>
    <w:p w14:paraId="51E553C6" w14:textId="1DF497F8" w:rsidR="005D4DBE" w:rsidRPr="004B1EC0" w:rsidRDefault="004B1EC0" w:rsidP="00EE2927">
      <w:pPr>
        <w:pStyle w:val="Proposal"/>
        <w:jc w:val="both"/>
      </w:pPr>
      <w:bookmarkStart w:id="77" w:name="_Toc24038260"/>
      <w:bookmarkStart w:id="78" w:name="_Toc24123738"/>
      <w:bookmarkStart w:id="79" w:name="_Toc24123829"/>
      <w:r w:rsidRPr="004B1EC0">
        <w:rPr>
          <w:rFonts w:cstheme="minorHAnsi"/>
        </w:rPr>
        <w:t>If enhanced dynamic codebook is configured and the presence of UL DAI for an additional PDSCH group is not configured</w:t>
      </w:r>
      <w:bookmarkStart w:id="80" w:name="_Toc20304127"/>
      <w:bookmarkStart w:id="81" w:name="_Toc20304187"/>
      <w:bookmarkStart w:id="82" w:name="_Toc20304454"/>
      <w:bookmarkStart w:id="83" w:name="_Toc20735267"/>
      <w:bookmarkStart w:id="84" w:name="_Toc21089966"/>
      <w:bookmarkStart w:id="85" w:name="_Toc21363901"/>
      <w:r w:rsidR="007335C7" w:rsidRPr="004B1EC0">
        <w:t xml:space="preserve">, the existing DAI, should reflect status of each latest DL total DAI of the </w:t>
      </w:r>
      <w:r w:rsidR="007335C7" w:rsidRPr="002422CF">
        <w:t>latest transmitted group that is included in the HARQ-ACK report.</w:t>
      </w:r>
      <w:bookmarkEnd w:id="77"/>
      <w:bookmarkEnd w:id="78"/>
      <w:bookmarkEnd w:id="79"/>
      <w:bookmarkEnd w:id="80"/>
      <w:bookmarkEnd w:id="81"/>
      <w:bookmarkEnd w:id="82"/>
      <w:bookmarkEnd w:id="83"/>
      <w:bookmarkEnd w:id="84"/>
      <w:bookmarkEnd w:id="85"/>
      <w:r w:rsidR="007335C7" w:rsidRPr="002422CF">
        <w:t xml:space="preserve"> </w:t>
      </w:r>
      <w:bookmarkStart w:id="86" w:name="_Toc20304128"/>
      <w:bookmarkStart w:id="87" w:name="_Toc20304188"/>
      <w:bookmarkStart w:id="88" w:name="_Toc20304455"/>
      <w:bookmarkStart w:id="89" w:name="_Toc20735268"/>
      <w:bookmarkStart w:id="90" w:name="_Toc20304129"/>
      <w:bookmarkStart w:id="91" w:name="_Toc20304189"/>
      <w:bookmarkStart w:id="92" w:name="_Toc20304456"/>
      <w:bookmarkStart w:id="93" w:name="_Toc20735269"/>
      <w:bookmarkStart w:id="94" w:name="_Toc20304130"/>
      <w:bookmarkStart w:id="95" w:name="_Toc20304190"/>
      <w:bookmarkStart w:id="96" w:name="_Toc20304457"/>
      <w:bookmarkStart w:id="97" w:name="_Toc20735270"/>
      <w:bookmarkStart w:id="98" w:name="_Toc20304131"/>
      <w:bookmarkStart w:id="99" w:name="_Toc20304191"/>
      <w:bookmarkStart w:id="100" w:name="_Toc20304458"/>
      <w:bookmarkStart w:id="101" w:name="_Toc20735271"/>
      <w:bookmarkStart w:id="102" w:name="_Toc20304132"/>
      <w:bookmarkStart w:id="103" w:name="_Toc20304192"/>
      <w:bookmarkStart w:id="104" w:name="_Toc20304459"/>
      <w:bookmarkStart w:id="105" w:name="_Toc20735272"/>
      <w:bookmarkStart w:id="106" w:name="_Toc20304133"/>
      <w:bookmarkStart w:id="107" w:name="_Toc20304193"/>
      <w:bookmarkStart w:id="108" w:name="_Toc20304460"/>
      <w:bookmarkStart w:id="109" w:name="_Toc20735273"/>
      <w:bookmarkStart w:id="110" w:name="_Toc20304134"/>
      <w:bookmarkStart w:id="111" w:name="_Toc20304194"/>
      <w:bookmarkStart w:id="112" w:name="_Toc20304461"/>
      <w:bookmarkStart w:id="113" w:name="_Toc20735274"/>
      <w:bookmarkStart w:id="114" w:name="_Toc20304135"/>
      <w:bookmarkStart w:id="115" w:name="_Toc20304195"/>
      <w:bookmarkStart w:id="116" w:name="_Toc20304462"/>
      <w:bookmarkStart w:id="117" w:name="_Toc20735275"/>
      <w:bookmarkStart w:id="118" w:name="_Toc20304136"/>
      <w:bookmarkStart w:id="119" w:name="_Toc20304196"/>
      <w:bookmarkStart w:id="120" w:name="_Toc20304463"/>
      <w:bookmarkStart w:id="121" w:name="_Toc20735276"/>
      <w:bookmarkStart w:id="122" w:name="_Toc20304137"/>
      <w:bookmarkStart w:id="123" w:name="_Toc20304197"/>
      <w:bookmarkStart w:id="124" w:name="_Toc20304464"/>
      <w:bookmarkStart w:id="125" w:name="_Toc20735277"/>
      <w:bookmarkEnd w:id="62"/>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1D767FAC" w14:textId="4741B85D" w:rsidR="005045A9" w:rsidRPr="005045A9" w:rsidRDefault="005045A9" w:rsidP="00F81320">
      <w:pPr>
        <w:pStyle w:val="Heading2"/>
      </w:pPr>
      <w:r w:rsidRPr="005045A9">
        <w:t xml:space="preserve">Semi-Static HARQ codebook </w:t>
      </w:r>
    </w:p>
    <w:p w14:paraId="660C9C5C" w14:textId="77777777" w:rsidR="005045A9" w:rsidRPr="008A0EB7" w:rsidRDefault="005045A9" w:rsidP="00EE2927">
      <w:pPr>
        <w:spacing w:before="240"/>
        <w:jc w:val="both"/>
        <w:rPr>
          <w:rFonts w:cstheme="minorHAnsi"/>
        </w:rPr>
      </w:pPr>
      <w:r w:rsidRPr="008A0EB7">
        <w:rPr>
          <w:rFonts w:cstheme="minorHAnsi"/>
        </w:rPr>
        <w:t xml:space="preserve">The main motivation for semi-static codebook in rel-15 NR was robustness. Semi-static codebook is considered more robust against missed downlink assignments as compared to dynamic codebook. This comes at the cost of larger overhead. </w:t>
      </w:r>
    </w:p>
    <w:p w14:paraId="0CD75C14" w14:textId="72B6EDC8" w:rsidR="005045A9" w:rsidRPr="008A0EB7" w:rsidRDefault="005045A9" w:rsidP="00EE2927">
      <w:pPr>
        <w:jc w:val="both"/>
        <w:rPr>
          <w:rFonts w:cstheme="minorHAnsi"/>
        </w:rPr>
      </w:pPr>
      <w:r w:rsidRPr="008A0EB7">
        <w:rPr>
          <w:rFonts w:cstheme="minorHAnsi"/>
        </w:rPr>
        <w:t xml:space="preserve">The robustness is insured by semi-statically configuring a fixed codebook size. </w:t>
      </w:r>
      <w:r w:rsidR="00634C42" w:rsidRPr="008A0EB7">
        <w:rPr>
          <w:rFonts w:cstheme="minorHAnsi"/>
        </w:rPr>
        <w:t>F</w:t>
      </w:r>
      <w:r w:rsidRPr="008A0EB7">
        <w:rPr>
          <w:rFonts w:cstheme="minorHAnsi"/>
        </w:rPr>
        <w:t xml:space="preserve">ew companies </w:t>
      </w:r>
      <w:r w:rsidR="00634C42" w:rsidRPr="008A0EB7">
        <w:rPr>
          <w:rFonts w:cstheme="minorHAnsi"/>
        </w:rPr>
        <w:t xml:space="preserve">are </w:t>
      </w:r>
      <w:r w:rsidRPr="008A0EB7">
        <w:rPr>
          <w:rFonts w:cstheme="minorHAnsi"/>
        </w:rPr>
        <w:t>propos</w:t>
      </w:r>
      <w:r w:rsidR="00634C42" w:rsidRPr="008A0EB7">
        <w:rPr>
          <w:rFonts w:cstheme="minorHAnsi"/>
        </w:rPr>
        <w:t>ing</w:t>
      </w:r>
      <w:r w:rsidRPr="008A0EB7">
        <w:rPr>
          <w:rFonts w:cstheme="minorHAnsi"/>
        </w:rPr>
        <w:t xml:space="preserve"> to dynamically change the size of the semi-static codebook, which </w:t>
      </w:r>
      <w:r w:rsidR="002E3894" w:rsidRPr="008A0EB7">
        <w:rPr>
          <w:rFonts w:cstheme="minorHAnsi"/>
        </w:rPr>
        <w:t>contra</w:t>
      </w:r>
      <w:r w:rsidR="00DC5431" w:rsidRPr="008A0EB7">
        <w:rPr>
          <w:rFonts w:cstheme="minorHAnsi"/>
        </w:rPr>
        <w:t>dicts</w:t>
      </w:r>
      <w:r w:rsidR="002E3894" w:rsidRPr="008A0EB7">
        <w:rPr>
          <w:rFonts w:cstheme="minorHAnsi"/>
        </w:rPr>
        <w:t xml:space="preserve"> to</w:t>
      </w:r>
      <w:r w:rsidR="00A206FA" w:rsidRPr="008A0EB7">
        <w:rPr>
          <w:rFonts w:cstheme="minorHAnsi"/>
        </w:rPr>
        <w:t xml:space="preserve"> </w:t>
      </w:r>
      <w:r w:rsidR="00BD4C1B" w:rsidRPr="008A0EB7">
        <w:rPr>
          <w:rFonts w:cstheme="minorHAnsi"/>
        </w:rPr>
        <w:t xml:space="preserve">its original purpose of this </w:t>
      </w:r>
      <w:r w:rsidR="00BD4C1B" w:rsidRPr="008A0EB7">
        <w:rPr>
          <w:rFonts w:cstheme="minorHAnsi"/>
        </w:rPr>
        <w:lastRenderedPageBreak/>
        <w:t xml:space="preserve">proposal, </w:t>
      </w:r>
      <w:r w:rsidRPr="008A0EB7">
        <w:rPr>
          <w:rFonts w:cstheme="minorHAnsi"/>
        </w:rPr>
        <w:t xml:space="preserve">again introduces ambiguity in the codebook size due to possible missed downlink assignment. We believe that the main purpose and definition of semi-static codebook should be retained as in rel-15 NR. </w:t>
      </w:r>
    </w:p>
    <w:p w14:paraId="7B6BFAC8" w14:textId="1DDF1CC6" w:rsidR="005045A9" w:rsidRPr="008A0EB7" w:rsidRDefault="005045A9" w:rsidP="00EE2927">
      <w:pPr>
        <w:jc w:val="both"/>
        <w:rPr>
          <w:rFonts w:cstheme="minorHAnsi"/>
        </w:rPr>
      </w:pPr>
      <w:r w:rsidRPr="008A0EB7">
        <w:rPr>
          <w:rFonts w:cstheme="minorHAnsi"/>
        </w:rPr>
        <w:t xml:space="preserve">The benefits of enhancing semi-static codebook are not clear </w:t>
      </w:r>
      <w:r w:rsidR="00AB6701" w:rsidRPr="008A0EB7">
        <w:rPr>
          <w:rFonts w:cstheme="minorHAnsi"/>
        </w:rPr>
        <w:t xml:space="preserve">since </w:t>
      </w:r>
      <w:r w:rsidRPr="008A0EB7">
        <w:rPr>
          <w:rFonts w:cstheme="minorHAnsi"/>
        </w:rPr>
        <w:t xml:space="preserve">the proposed enhancements for dynamic codebook provides the robustness against missed downlink assignments that </w:t>
      </w:r>
      <w:r w:rsidR="00B21A1B" w:rsidRPr="008A0EB7">
        <w:rPr>
          <w:rFonts w:cstheme="minorHAnsi"/>
        </w:rPr>
        <w:t xml:space="preserve">does </w:t>
      </w:r>
      <w:r w:rsidRPr="008A0EB7">
        <w:rPr>
          <w:rFonts w:cstheme="minorHAnsi"/>
        </w:rPr>
        <w:t>not exist in Rel-15 NR. Alternatively, to recover from an error case (e.g. missed PUCCH)</w:t>
      </w:r>
      <w:r w:rsidR="00E258B8" w:rsidRPr="008A0EB7">
        <w:rPr>
          <w:rFonts w:cstheme="minorHAnsi"/>
        </w:rPr>
        <w:t>,</w:t>
      </w:r>
      <w:r w:rsidRPr="008A0EB7">
        <w:rPr>
          <w:rFonts w:cstheme="minorHAnsi"/>
        </w:rPr>
        <w:t xml:space="preserve"> single shot trigger should be used without the need to fundamentally change the semi-static codebook design. Given that this will only happen when an error </w:t>
      </w:r>
      <w:r w:rsidR="00043FC3" w:rsidRPr="008A0EB7">
        <w:rPr>
          <w:rFonts w:cstheme="minorHAnsi"/>
        </w:rPr>
        <w:t>occurs</w:t>
      </w:r>
      <w:r w:rsidRPr="008A0EB7">
        <w:rPr>
          <w:rFonts w:cstheme="minorHAnsi"/>
        </w:rPr>
        <w:t xml:space="preserve">, the overhead is not an issue </w:t>
      </w:r>
      <w:r w:rsidR="000F4539" w:rsidRPr="008A0EB7">
        <w:rPr>
          <w:rFonts w:cstheme="minorHAnsi"/>
        </w:rPr>
        <w:t>since</w:t>
      </w:r>
      <w:r w:rsidRPr="008A0EB7">
        <w:rPr>
          <w:rFonts w:cstheme="minorHAnsi"/>
        </w:rPr>
        <w:t xml:space="preserve"> with the interlace design, the PUCCH capacity is considerably high to transmit a full status report for all configured HARQ processes or a subset of them even if only</w:t>
      </w:r>
      <w:r w:rsidR="00E54350" w:rsidRPr="008A0EB7">
        <w:rPr>
          <w:rFonts w:cstheme="minorHAnsi"/>
        </w:rPr>
        <w:t xml:space="preserve"> a</w:t>
      </w:r>
      <w:r w:rsidRPr="008A0EB7">
        <w:rPr>
          <w:rFonts w:cstheme="minorHAnsi"/>
        </w:rPr>
        <w:t xml:space="preserve"> single interlace is assigned. Even if </w:t>
      </w:r>
      <w:r w:rsidR="00864F3D" w:rsidRPr="008A0EB7">
        <w:rPr>
          <w:rFonts w:cstheme="minorHAnsi"/>
        </w:rPr>
        <w:t>this is n</w:t>
      </w:r>
      <w:r w:rsidR="007B6B10" w:rsidRPr="008A0EB7">
        <w:rPr>
          <w:rFonts w:cstheme="minorHAnsi"/>
        </w:rPr>
        <w:t>ot the case</w:t>
      </w:r>
      <w:r w:rsidRPr="008A0EB7">
        <w:rPr>
          <w:rFonts w:cstheme="minorHAnsi"/>
        </w:rPr>
        <w:t xml:space="preserve">, dynamic codebook can be used for the purpose of overhead reduction.  </w:t>
      </w:r>
    </w:p>
    <w:p w14:paraId="7ED976F1" w14:textId="0CF710B6" w:rsidR="00414007" w:rsidRPr="00686699" w:rsidRDefault="005045A9" w:rsidP="002F1706">
      <w:pPr>
        <w:pStyle w:val="Proposal"/>
        <w:rPr>
          <w:rFonts w:cstheme="minorHAnsi"/>
        </w:rPr>
      </w:pPr>
      <w:bookmarkStart w:id="126" w:name="_Toc7701973"/>
      <w:bookmarkStart w:id="127" w:name="_Toc16916388"/>
      <w:bookmarkStart w:id="128" w:name="_Toc16918866"/>
      <w:bookmarkStart w:id="129" w:name="_Toc19191368"/>
      <w:bookmarkStart w:id="130" w:name="_Toc20304138"/>
      <w:bookmarkStart w:id="131" w:name="_Toc20304198"/>
      <w:bookmarkStart w:id="132" w:name="_Toc20304465"/>
      <w:bookmarkStart w:id="133" w:name="_Toc20735278"/>
      <w:bookmarkStart w:id="134" w:name="_Toc21089967"/>
      <w:bookmarkStart w:id="135" w:name="_Toc21363902"/>
      <w:bookmarkStart w:id="136" w:name="_Toc24038261"/>
      <w:bookmarkStart w:id="137" w:name="_Toc24123739"/>
      <w:bookmarkStart w:id="138" w:name="_Toc24123830"/>
      <w:r w:rsidRPr="00EE2927">
        <w:t>No semi-static codebook specific enhancements are considered for NR-U</w:t>
      </w:r>
      <w:bookmarkEnd w:id="126"/>
      <w:bookmarkEnd w:id="127"/>
      <w:bookmarkEnd w:id="128"/>
      <w:bookmarkEnd w:id="129"/>
      <w:bookmarkEnd w:id="130"/>
      <w:bookmarkEnd w:id="131"/>
      <w:bookmarkEnd w:id="132"/>
      <w:bookmarkEnd w:id="133"/>
      <w:bookmarkEnd w:id="134"/>
      <w:bookmarkEnd w:id="135"/>
      <w:bookmarkEnd w:id="136"/>
      <w:bookmarkEnd w:id="137"/>
      <w:bookmarkEnd w:id="138"/>
      <w:r w:rsidRPr="00EE2927">
        <w:t xml:space="preserve"> </w:t>
      </w:r>
      <w:bookmarkStart w:id="139" w:name="_Toc20735279"/>
      <w:bookmarkEnd w:id="139"/>
    </w:p>
    <w:p w14:paraId="0E326107" w14:textId="32DDB79B" w:rsidR="00414007" w:rsidRPr="008A0EB7" w:rsidRDefault="00414007" w:rsidP="00EE2927">
      <w:pPr>
        <w:jc w:val="both"/>
        <w:rPr>
          <w:rFonts w:cstheme="minorHAnsi"/>
        </w:rPr>
      </w:pPr>
      <w:r w:rsidRPr="008A0EB7">
        <w:rPr>
          <w:rFonts w:cstheme="minorHAnsi"/>
        </w:rPr>
        <w:t xml:space="preserve">We do not see great value for the non-numerical value for semi-static codebook. We believe it should be limited to dynamic codebook only. If considered for semi-static codebook, it should not impact the semi-static codebook size determination. The configured code book size should not be changed dynamically depending on the number of PDSCH with non-numerical K1. Instead, the only way to fetch the feedback for PDSCH with non-numerical K1 the feedback for those processes is by sending a one-shot feedback trigger. </w:t>
      </w:r>
    </w:p>
    <w:p w14:paraId="10C5C565" w14:textId="6286C6AF" w:rsidR="00414007" w:rsidRPr="00EE2927" w:rsidRDefault="00414007" w:rsidP="00EE2927">
      <w:pPr>
        <w:pStyle w:val="Proposal"/>
        <w:tabs>
          <w:tab w:val="num" w:pos="2204"/>
        </w:tabs>
        <w:jc w:val="both"/>
      </w:pPr>
      <w:bookmarkStart w:id="140" w:name="_Toc19191369"/>
      <w:bookmarkStart w:id="141" w:name="_Toc20304139"/>
      <w:bookmarkStart w:id="142" w:name="_Toc20304199"/>
      <w:bookmarkStart w:id="143" w:name="_Toc20304466"/>
      <w:bookmarkStart w:id="144" w:name="_Toc20735280"/>
      <w:bookmarkStart w:id="145" w:name="_Toc21089968"/>
      <w:bookmarkStart w:id="146" w:name="_Toc21363903"/>
      <w:bookmarkStart w:id="147" w:name="_Toc24038262"/>
      <w:bookmarkStart w:id="148" w:name="_Toc24123740"/>
      <w:bookmarkStart w:id="149" w:name="_Toc24123831"/>
      <w:r w:rsidRPr="00EE2927">
        <w:t>non-numerical K1 is not beneficial for the semi-static codebook.</w:t>
      </w:r>
      <w:bookmarkEnd w:id="140"/>
      <w:bookmarkEnd w:id="141"/>
      <w:bookmarkEnd w:id="142"/>
      <w:bookmarkEnd w:id="143"/>
      <w:bookmarkEnd w:id="144"/>
      <w:bookmarkEnd w:id="145"/>
      <w:bookmarkEnd w:id="146"/>
      <w:bookmarkEnd w:id="147"/>
      <w:bookmarkEnd w:id="148"/>
      <w:bookmarkEnd w:id="149"/>
      <w:r w:rsidRPr="00EE2927">
        <w:t xml:space="preserve"> </w:t>
      </w:r>
      <w:bookmarkStart w:id="150" w:name="_Toc19191370"/>
      <w:bookmarkEnd w:id="150"/>
    </w:p>
    <w:p w14:paraId="7C4FD591" w14:textId="77777777" w:rsidR="005045A9" w:rsidRPr="005045A9" w:rsidRDefault="005045A9" w:rsidP="00F81320">
      <w:pPr>
        <w:pStyle w:val="Heading2"/>
      </w:pPr>
      <w:r w:rsidRPr="005045A9">
        <w:t xml:space="preserve">Single shot trigger </w:t>
      </w:r>
    </w:p>
    <w:p w14:paraId="6020D62F" w14:textId="77777777" w:rsidR="005045A9" w:rsidRDefault="005045A9" w:rsidP="005045A9">
      <w:pPr>
        <w:rPr>
          <w:rFonts w:cstheme="minorHAnsi"/>
        </w:rPr>
      </w:pPr>
    </w:p>
    <w:p w14:paraId="1DC11AFB" w14:textId="2628D87A" w:rsidR="005045A9" w:rsidRPr="008A0EB7" w:rsidRDefault="005045A9" w:rsidP="005045A9">
      <w:pPr>
        <w:rPr>
          <w:rFonts w:cstheme="minorHAnsi"/>
        </w:rPr>
      </w:pPr>
      <w:r w:rsidRPr="008A0EB7">
        <w:rPr>
          <w:rFonts w:cstheme="minorHAnsi"/>
        </w:rPr>
        <w:t>During</w:t>
      </w:r>
      <w:r w:rsidR="00937F2F" w:rsidRPr="008A0EB7">
        <w:rPr>
          <w:rFonts w:cstheme="minorHAnsi"/>
        </w:rPr>
        <w:t xml:space="preserve"> RAN1#</w:t>
      </w:r>
      <w:r w:rsidR="00F15814" w:rsidRPr="008A0EB7">
        <w:rPr>
          <w:rFonts w:cstheme="minorHAnsi"/>
        </w:rPr>
        <w:t>9</w:t>
      </w:r>
      <w:r w:rsidR="00F15814">
        <w:rPr>
          <w:rFonts w:cstheme="minorHAnsi"/>
        </w:rPr>
        <w:t>8</w:t>
      </w:r>
      <w:r w:rsidR="00F15814" w:rsidRPr="008A0EB7">
        <w:rPr>
          <w:rFonts w:cstheme="minorHAnsi"/>
        </w:rPr>
        <w:t xml:space="preserve">bis </w:t>
      </w:r>
      <w:r w:rsidRPr="008A0EB7">
        <w:rPr>
          <w:rFonts w:cstheme="minorHAnsi"/>
        </w:rPr>
        <w:t>[</w:t>
      </w:r>
      <w:r w:rsidR="00937F2F" w:rsidRPr="008A0EB7">
        <w:rPr>
          <w:rFonts w:cstheme="minorHAnsi"/>
        </w:rPr>
        <w:t>2</w:t>
      </w:r>
      <w:r w:rsidRPr="008A0EB7">
        <w:rPr>
          <w:rFonts w:cstheme="minorHAnsi"/>
        </w:rPr>
        <w:t xml:space="preserve">], the following agreement was made: </w:t>
      </w:r>
    </w:p>
    <w:p w14:paraId="2C42C6E3" w14:textId="77777777" w:rsidR="00F15814" w:rsidRDefault="00F15814" w:rsidP="00F15814">
      <w:pPr>
        <w:rPr>
          <w:lang w:eastAsia="x-none"/>
        </w:rPr>
      </w:pPr>
      <w:r w:rsidRPr="007E495B">
        <w:rPr>
          <w:highlight w:val="green"/>
          <w:lang w:eastAsia="x-none"/>
        </w:rPr>
        <w:t>Agreement:</w:t>
      </w:r>
    </w:p>
    <w:p w14:paraId="18D4B2C2" w14:textId="77777777" w:rsidR="00F15814" w:rsidRPr="00EC4E56" w:rsidRDefault="00F15814" w:rsidP="00F15814">
      <w:pPr>
        <w:rPr>
          <w:bCs/>
          <w:lang w:eastAsia="x-none"/>
        </w:rPr>
      </w:pPr>
      <w:r w:rsidRPr="00EC4E56">
        <w:rPr>
          <w:bCs/>
          <w:lang w:eastAsia="x-none"/>
        </w:rPr>
        <w:t xml:space="preserve">Support requesting feedback of a HARQ-ACK codebook containing all DL HARQ processes </w:t>
      </w:r>
      <w:r>
        <w:rPr>
          <w:bCs/>
          <w:lang w:eastAsia="x-none"/>
        </w:rPr>
        <w:t xml:space="preserve">(one-shot feedback) for all CCs configured </w:t>
      </w:r>
      <w:r w:rsidRPr="00EC4E56">
        <w:rPr>
          <w:bCs/>
          <w:lang w:eastAsia="x-none"/>
        </w:rPr>
        <w:t>for a UE</w:t>
      </w:r>
      <w:r>
        <w:rPr>
          <w:bCs/>
          <w:lang w:eastAsia="x-none"/>
        </w:rPr>
        <w:t xml:space="preserve"> in the PUCCH group.</w:t>
      </w:r>
    </w:p>
    <w:p w14:paraId="32DA6A1C" w14:textId="77777777" w:rsidR="00F15814" w:rsidRDefault="00F15814" w:rsidP="00BF14D5">
      <w:pPr>
        <w:numPr>
          <w:ilvl w:val="0"/>
          <w:numId w:val="18"/>
        </w:numPr>
        <w:spacing w:after="0" w:line="240" w:lineRule="auto"/>
        <w:ind w:left="360"/>
        <w:rPr>
          <w:bCs/>
          <w:lang w:eastAsia="x-none"/>
        </w:rPr>
      </w:pPr>
      <w:r>
        <w:rPr>
          <w:bCs/>
          <w:lang w:eastAsia="x-none"/>
        </w:rPr>
        <w:t>One-shot feedback should be configurable separately from the configuration of semi-static(including any potential enhancements)/non-enhanced</w:t>
      </w:r>
      <w:r w:rsidRPr="005C51CF">
        <w:rPr>
          <w:bCs/>
          <w:lang w:eastAsia="x-none"/>
        </w:rPr>
        <w:t xml:space="preserve"> dynamic HARQ codebook</w:t>
      </w:r>
    </w:p>
    <w:p w14:paraId="00257F67" w14:textId="77777777" w:rsidR="00F15814" w:rsidRDefault="00F15814" w:rsidP="00BF14D5">
      <w:pPr>
        <w:numPr>
          <w:ilvl w:val="1"/>
          <w:numId w:val="18"/>
        </w:numPr>
        <w:spacing w:after="0" w:line="240" w:lineRule="auto"/>
        <w:ind w:left="1080"/>
        <w:rPr>
          <w:bCs/>
          <w:lang w:eastAsia="x-none"/>
        </w:rPr>
      </w:pPr>
      <w:r>
        <w:rPr>
          <w:bCs/>
          <w:lang w:eastAsia="x-none"/>
        </w:rPr>
        <w:t>FFS: Simultaneous configuration of enhanced dynamic codebook and one-shot feedback</w:t>
      </w:r>
    </w:p>
    <w:p w14:paraId="399553FB" w14:textId="77777777" w:rsidR="00F15814" w:rsidRDefault="00F15814" w:rsidP="00F15814">
      <w:pPr>
        <w:rPr>
          <w:lang w:eastAsia="x-none"/>
        </w:rPr>
      </w:pPr>
    </w:p>
    <w:p w14:paraId="30C39B8D" w14:textId="77777777" w:rsidR="00F15814" w:rsidRDefault="00F15814" w:rsidP="00F15814">
      <w:pPr>
        <w:rPr>
          <w:lang w:eastAsia="x-none"/>
        </w:rPr>
      </w:pPr>
      <w:r w:rsidRPr="002B239E">
        <w:rPr>
          <w:highlight w:val="green"/>
          <w:lang w:eastAsia="x-none"/>
        </w:rPr>
        <w:t>Agreement:</w:t>
      </w:r>
    </w:p>
    <w:p w14:paraId="5B335081" w14:textId="77777777" w:rsidR="00F15814" w:rsidRDefault="00F15814" w:rsidP="00BF14D5">
      <w:pPr>
        <w:numPr>
          <w:ilvl w:val="0"/>
          <w:numId w:val="18"/>
        </w:numPr>
        <w:spacing w:after="0" w:line="240" w:lineRule="auto"/>
        <w:ind w:left="360"/>
        <w:rPr>
          <w:bCs/>
          <w:lang w:eastAsia="x-none"/>
        </w:rPr>
      </w:pPr>
      <w:r w:rsidRPr="00425F5A">
        <w:rPr>
          <w:bCs/>
          <w:lang w:eastAsia="x-none"/>
        </w:rPr>
        <w:t>The last PDSCH for which A/N decoding result is reported in the HARQ-ACK codebook containing all DL HARQ processes (one-shot feedback) is determined as the last PDSCH within the UE N1 processing time capability</w:t>
      </w:r>
    </w:p>
    <w:p w14:paraId="5AA44E5C" w14:textId="77777777" w:rsidR="00F15814" w:rsidRPr="00425F5A" w:rsidRDefault="00F15814" w:rsidP="00BF14D5">
      <w:pPr>
        <w:numPr>
          <w:ilvl w:val="1"/>
          <w:numId w:val="18"/>
        </w:numPr>
        <w:spacing w:after="0" w:line="240" w:lineRule="auto"/>
        <w:ind w:left="1080"/>
        <w:rPr>
          <w:bCs/>
          <w:lang w:eastAsia="x-none"/>
        </w:rPr>
      </w:pPr>
      <w:r w:rsidRPr="00425F5A">
        <w:rPr>
          <w:bCs/>
          <w:lang w:eastAsia="x-none"/>
        </w:rPr>
        <w:t>UE also reports HARQ-ACK feedback for earlier PDSCHs scheduled with non-numerical K1</w:t>
      </w:r>
    </w:p>
    <w:p w14:paraId="6C5F1608" w14:textId="77777777" w:rsidR="00F15814" w:rsidRPr="00425F5A" w:rsidRDefault="00F15814" w:rsidP="00BF14D5">
      <w:pPr>
        <w:numPr>
          <w:ilvl w:val="1"/>
          <w:numId w:val="18"/>
        </w:numPr>
        <w:spacing w:after="0" w:line="240" w:lineRule="auto"/>
        <w:ind w:left="1080"/>
        <w:rPr>
          <w:bCs/>
          <w:lang w:eastAsia="x-none"/>
        </w:rPr>
      </w:pPr>
      <w:r w:rsidRPr="00425F5A">
        <w:rPr>
          <w:bCs/>
          <w:lang w:eastAsia="x-none"/>
        </w:rPr>
        <w:t>For NDI, choose one of the following alternatives:</w:t>
      </w:r>
    </w:p>
    <w:p w14:paraId="16DD1F5A" w14:textId="77777777" w:rsidR="00F15814" w:rsidRPr="00425F5A" w:rsidRDefault="00F15814" w:rsidP="00BF14D5">
      <w:pPr>
        <w:numPr>
          <w:ilvl w:val="2"/>
          <w:numId w:val="18"/>
        </w:numPr>
        <w:spacing w:after="0" w:line="240" w:lineRule="auto"/>
        <w:ind w:left="1800"/>
        <w:rPr>
          <w:bCs/>
          <w:lang w:eastAsia="x-none"/>
        </w:rPr>
      </w:pPr>
      <w:r>
        <w:rPr>
          <w:bCs/>
          <w:lang w:eastAsia="x-none"/>
        </w:rPr>
        <w:t xml:space="preserve">Alt. A: </w:t>
      </w:r>
      <w:r w:rsidRPr="00425F5A">
        <w:rPr>
          <w:bCs/>
          <w:lang w:eastAsia="x-none"/>
        </w:rPr>
        <w:t>NDI value is not reported along with HARQ-ACK for the corresponding PDSCH</w:t>
      </w:r>
    </w:p>
    <w:p w14:paraId="3C088FA5" w14:textId="77777777" w:rsidR="00F15814" w:rsidRPr="00425F5A" w:rsidRDefault="00F15814" w:rsidP="00BF14D5">
      <w:pPr>
        <w:numPr>
          <w:ilvl w:val="2"/>
          <w:numId w:val="18"/>
        </w:numPr>
        <w:spacing w:after="0" w:line="240" w:lineRule="auto"/>
        <w:ind w:left="1800"/>
        <w:rPr>
          <w:bCs/>
          <w:lang w:eastAsia="x-none"/>
        </w:rPr>
      </w:pPr>
      <w:r>
        <w:rPr>
          <w:bCs/>
          <w:lang w:eastAsia="x-none"/>
        </w:rPr>
        <w:t xml:space="preserve">Alt. B: </w:t>
      </w:r>
      <w:r w:rsidRPr="00425F5A">
        <w:rPr>
          <w:bCs/>
          <w:lang w:eastAsia="x-none"/>
        </w:rPr>
        <w:t>Latest NDI value is reported along with HARQ-ACK for the corresponding PDSCH</w:t>
      </w:r>
    </w:p>
    <w:p w14:paraId="2F7B7F84" w14:textId="77777777" w:rsidR="00F15814" w:rsidRPr="00425F5A" w:rsidRDefault="00F15814" w:rsidP="00BF14D5">
      <w:pPr>
        <w:numPr>
          <w:ilvl w:val="3"/>
          <w:numId w:val="18"/>
        </w:numPr>
        <w:spacing w:after="0" w:line="240" w:lineRule="auto"/>
        <w:ind w:left="2520"/>
        <w:rPr>
          <w:bCs/>
          <w:lang w:eastAsia="x-none"/>
        </w:rPr>
      </w:pPr>
      <w:r w:rsidRPr="00425F5A">
        <w:rPr>
          <w:lang w:eastAsia="x-none"/>
        </w:rPr>
        <w:t>UE assumes NDI=0 if there is no prior NDI value for the HARQ process</w:t>
      </w:r>
    </w:p>
    <w:p w14:paraId="2FD7A4E0" w14:textId="77777777" w:rsidR="00F15814" w:rsidRPr="00425F5A" w:rsidRDefault="00F15814" w:rsidP="00BF14D5">
      <w:pPr>
        <w:numPr>
          <w:ilvl w:val="2"/>
          <w:numId w:val="18"/>
        </w:numPr>
        <w:spacing w:after="0" w:line="240" w:lineRule="auto"/>
        <w:ind w:left="1800"/>
        <w:rPr>
          <w:bCs/>
          <w:lang w:eastAsia="x-none"/>
        </w:rPr>
      </w:pPr>
      <w:r>
        <w:rPr>
          <w:bCs/>
          <w:lang w:eastAsia="x-none"/>
        </w:rPr>
        <w:t xml:space="preserve">Alt. C: </w:t>
      </w:r>
      <w:r w:rsidRPr="00425F5A">
        <w:rPr>
          <w:bCs/>
          <w:lang w:eastAsia="x-none"/>
        </w:rPr>
        <w:t>UE reports XOR of latest NDI value and HARQ-ACK for the corresponding PDSCH</w:t>
      </w:r>
    </w:p>
    <w:p w14:paraId="7EDCE882" w14:textId="77777777" w:rsidR="00F15814" w:rsidRPr="00425F5A" w:rsidRDefault="00F15814" w:rsidP="00BF14D5">
      <w:pPr>
        <w:numPr>
          <w:ilvl w:val="3"/>
          <w:numId w:val="18"/>
        </w:numPr>
        <w:spacing w:after="0" w:line="240" w:lineRule="auto"/>
        <w:ind w:left="2520"/>
        <w:rPr>
          <w:bCs/>
          <w:lang w:eastAsia="x-none"/>
        </w:rPr>
      </w:pPr>
      <w:r w:rsidRPr="00425F5A">
        <w:rPr>
          <w:lang w:eastAsia="x-none"/>
        </w:rPr>
        <w:t>UE assumes NDI=0 if there is no prior NDI value for the HARQ process</w:t>
      </w:r>
    </w:p>
    <w:p w14:paraId="7BD0B9D6" w14:textId="77777777" w:rsidR="00F15814" w:rsidRPr="00425F5A" w:rsidRDefault="00F15814" w:rsidP="00BF14D5">
      <w:pPr>
        <w:numPr>
          <w:ilvl w:val="0"/>
          <w:numId w:val="18"/>
        </w:numPr>
        <w:spacing w:after="0" w:line="240" w:lineRule="auto"/>
        <w:ind w:left="360"/>
        <w:rPr>
          <w:bCs/>
          <w:lang w:eastAsia="x-none"/>
        </w:rPr>
      </w:pPr>
      <w:r w:rsidRPr="00425F5A">
        <w:rPr>
          <w:bCs/>
          <w:lang w:eastAsia="x-none"/>
        </w:rPr>
        <w:t>For any HARQ ID that is scheduled after the last determined PDSCH for which A/N decoding result is reported, choose one of the following alternatives</w:t>
      </w:r>
      <w:r>
        <w:rPr>
          <w:bCs/>
          <w:lang w:eastAsia="x-none"/>
        </w:rPr>
        <w:t xml:space="preserve"> (applicability dependent on decision on alternatives for the latest NDI value)</w:t>
      </w:r>
      <w:r w:rsidRPr="00425F5A">
        <w:rPr>
          <w:bCs/>
          <w:lang w:eastAsia="x-none"/>
        </w:rPr>
        <w:t>:</w:t>
      </w:r>
    </w:p>
    <w:p w14:paraId="11763544" w14:textId="77777777" w:rsidR="00F15814" w:rsidRPr="00425F5A" w:rsidRDefault="00F15814" w:rsidP="00BF14D5">
      <w:pPr>
        <w:numPr>
          <w:ilvl w:val="1"/>
          <w:numId w:val="18"/>
        </w:numPr>
        <w:spacing w:after="0" w:line="240" w:lineRule="auto"/>
        <w:ind w:left="1080"/>
        <w:rPr>
          <w:bCs/>
          <w:lang w:eastAsia="x-none"/>
        </w:rPr>
      </w:pPr>
      <w:r w:rsidRPr="00425F5A">
        <w:rPr>
          <w:bCs/>
          <w:lang w:eastAsia="x-none"/>
        </w:rPr>
        <w:t>Alt1: the HARQ A/N result of the previous PDSCH with that HARQ ID is reported, even if it had already been reported</w:t>
      </w:r>
    </w:p>
    <w:p w14:paraId="7EE6222E" w14:textId="77777777" w:rsidR="00F15814" w:rsidRPr="00425F5A" w:rsidRDefault="00F15814" w:rsidP="00BF14D5">
      <w:pPr>
        <w:numPr>
          <w:ilvl w:val="1"/>
          <w:numId w:val="18"/>
        </w:numPr>
        <w:spacing w:after="0" w:line="240" w:lineRule="auto"/>
        <w:ind w:left="1080"/>
        <w:rPr>
          <w:lang w:eastAsia="x-none"/>
        </w:rPr>
      </w:pPr>
      <w:r w:rsidRPr="00425F5A">
        <w:rPr>
          <w:bCs/>
          <w:lang w:eastAsia="x-none"/>
        </w:rPr>
        <w:lastRenderedPageBreak/>
        <w:t xml:space="preserve">Alt2: </w:t>
      </w:r>
      <w:r w:rsidRPr="00425F5A">
        <w:rPr>
          <w:lang w:eastAsia="x-none"/>
        </w:rPr>
        <w:t>The HARQ A/N value is set to the default value of NACK</w:t>
      </w:r>
    </w:p>
    <w:p w14:paraId="5DBA2C8E" w14:textId="2538E45C" w:rsidR="00F15814" w:rsidRPr="002422CF" w:rsidRDefault="00F15814" w:rsidP="00BF14D5">
      <w:pPr>
        <w:numPr>
          <w:ilvl w:val="0"/>
          <w:numId w:val="18"/>
        </w:numPr>
        <w:spacing w:after="0" w:line="240" w:lineRule="auto"/>
        <w:ind w:left="360"/>
        <w:rPr>
          <w:bCs/>
          <w:lang w:eastAsia="x-none"/>
        </w:rPr>
      </w:pPr>
      <w:r w:rsidRPr="00425F5A">
        <w:rPr>
          <w:lang w:eastAsia="x-none"/>
        </w:rPr>
        <w:t>FFS: applicability with CBG-based HARQ</w:t>
      </w:r>
    </w:p>
    <w:p w14:paraId="129D6582" w14:textId="77777777" w:rsidR="00F15814" w:rsidRPr="00425F5A" w:rsidRDefault="00F15814" w:rsidP="002422CF">
      <w:pPr>
        <w:spacing w:after="0" w:line="240" w:lineRule="auto"/>
        <w:rPr>
          <w:bCs/>
          <w:lang w:eastAsia="x-none"/>
        </w:rPr>
      </w:pPr>
    </w:p>
    <w:p w14:paraId="58FDAD6A" w14:textId="0588C2A3" w:rsidR="005045A9" w:rsidRPr="008A0EB7" w:rsidRDefault="000067CB" w:rsidP="00EE2927">
      <w:pPr>
        <w:pStyle w:val="BodyText"/>
        <w:jc w:val="both"/>
        <w:rPr>
          <w:rFonts w:asciiTheme="minorHAnsi" w:hAnsiTheme="minorHAnsi" w:cstheme="minorHAnsi"/>
        </w:rPr>
      </w:pPr>
      <w:r>
        <w:rPr>
          <w:rFonts w:asciiTheme="minorHAnsi" w:hAnsiTheme="minorHAnsi" w:cstheme="minorHAnsi"/>
        </w:rPr>
        <w:t>O</w:t>
      </w:r>
      <w:r w:rsidR="005045A9" w:rsidRPr="008A0EB7">
        <w:rPr>
          <w:rFonts w:asciiTheme="minorHAnsi" w:hAnsiTheme="minorHAnsi" w:cstheme="minorHAnsi"/>
        </w:rPr>
        <w:t xml:space="preserve">ne-shot trigger can be included in the DL grant. The slot for transmission of the PUCCH carrying the report, is determined by the PDSCH-to-HARQ-timing-indicator field in the DCI similarly to Rel-15. The size of the report determines the PUCCH resource set and the PUCCH resource indicator field in the DCI determines the PUCCH resource to be used for transmission in that set similar to Rel-15. </w:t>
      </w:r>
    </w:p>
    <w:p w14:paraId="16F28DEF" w14:textId="77777777" w:rsidR="005045A9" w:rsidRPr="008A0EB7" w:rsidRDefault="005045A9" w:rsidP="00EE2927">
      <w:pPr>
        <w:pStyle w:val="BodyText"/>
        <w:jc w:val="both"/>
        <w:rPr>
          <w:rFonts w:asciiTheme="minorHAnsi" w:hAnsiTheme="minorHAnsi" w:cstheme="minorHAnsi"/>
        </w:rPr>
      </w:pPr>
      <w:r w:rsidRPr="008A0EB7">
        <w:rPr>
          <w:rFonts w:asciiTheme="minorHAnsi" w:hAnsiTheme="minorHAnsi" w:cstheme="minorHAnsi"/>
        </w:rPr>
        <w:t xml:space="preserve">The one-shot trigger can also be included in a UL grant. For PUSCH with UL-SCH, the multiplexing procedures for HARQ-ACK on PUSCH similar to those in Rel-15 are used to multiplex the report with UL-SCH on PUSCH. </w:t>
      </w:r>
    </w:p>
    <w:p w14:paraId="723BB5CE" w14:textId="77777777" w:rsidR="005045A9" w:rsidRPr="008A0EB7" w:rsidRDefault="005045A9" w:rsidP="00EE2927">
      <w:pPr>
        <w:pStyle w:val="BodyText"/>
        <w:jc w:val="both"/>
        <w:rPr>
          <w:rFonts w:asciiTheme="minorHAnsi" w:hAnsiTheme="minorHAnsi" w:cstheme="minorHAnsi"/>
        </w:rPr>
      </w:pPr>
      <w:r w:rsidRPr="008A0EB7">
        <w:rPr>
          <w:rFonts w:asciiTheme="minorHAnsi" w:hAnsiTheme="minorHAnsi" w:cstheme="minorHAnsi"/>
        </w:rPr>
        <w:t xml:space="preserve">The UL grant can be used also to trigger feedback report without scheduling UL-SCH. In case of PUSCH without UL-SCH, the report is considered as HARQ-ACK UCI and multiplexed on PUSCH following the mapping rules for HARQ-ACK transmission on PUSCH.  </w:t>
      </w:r>
    </w:p>
    <w:p w14:paraId="77BA9193" w14:textId="6F4BB633" w:rsidR="005045A9" w:rsidRPr="00EE2927" w:rsidRDefault="00AB1845" w:rsidP="00EE2927">
      <w:pPr>
        <w:pStyle w:val="Proposal"/>
        <w:ind w:left="2247"/>
      </w:pPr>
      <w:bookmarkStart w:id="151" w:name="_Toc7701974"/>
      <w:bookmarkStart w:id="152" w:name="_Toc16916389"/>
      <w:bookmarkStart w:id="153" w:name="_Toc16918867"/>
      <w:bookmarkStart w:id="154" w:name="_Toc19191371"/>
      <w:bookmarkStart w:id="155" w:name="_Toc20304140"/>
      <w:bookmarkStart w:id="156" w:name="_Toc20304200"/>
      <w:bookmarkStart w:id="157" w:name="_Toc20304467"/>
      <w:bookmarkStart w:id="158" w:name="_Toc20735281"/>
      <w:bookmarkStart w:id="159" w:name="_Toc21089969"/>
      <w:bookmarkStart w:id="160" w:name="_Toc21363904"/>
      <w:bookmarkStart w:id="161" w:name="_Toc24038263"/>
      <w:bookmarkStart w:id="162" w:name="_Toc24123741"/>
      <w:bookmarkStart w:id="163" w:name="_Toc24123832"/>
      <w:r>
        <w:t>O</w:t>
      </w:r>
      <w:r w:rsidRPr="00EE2927">
        <w:t>ne</w:t>
      </w:r>
      <w:r w:rsidR="005045A9" w:rsidRPr="00EE2927">
        <w:t>-shot group HARQ ACK feedback request can be carried in:</w:t>
      </w:r>
      <w:bookmarkEnd w:id="151"/>
      <w:bookmarkEnd w:id="152"/>
      <w:bookmarkEnd w:id="153"/>
      <w:bookmarkEnd w:id="154"/>
      <w:bookmarkEnd w:id="155"/>
      <w:bookmarkEnd w:id="156"/>
      <w:bookmarkEnd w:id="157"/>
      <w:bookmarkEnd w:id="158"/>
      <w:bookmarkEnd w:id="159"/>
      <w:bookmarkEnd w:id="160"/>
      <w:bookmarkEnd w:id="161"/>
      <w:bookmarkEnd w:id="162"/>
      <w:bookmarkEnd w:id="163"/>
      <w:r w:rsidR="005045A9" w:rsidRPr="00EE2927">
        <w:t xml:space="preserve"> </w:t>
      </w:r>
    </w:p>
    <w:p w14:paraId="4B6FAA6A" w14:textId="60034A7D" w:rsidR="005045A9" w:rsidRPr="00EE2927" w:rsidRDefault="005045A9" w:rsidP="00EE2927">
      <w:pPr>
        <w:pStyle w:val="Proposal"/>
        <w:numPr>
          <w:ilvl w:val="1"/>
          <w:numId w:val="2"/>
        </w:numPr>
      </w:pPr>
      <w:bookmarkStart w:id="164" w:name="_Toc7701975"/>
      <w:bookmarkStart w:id="165" w:name="_Toc16916390"/>
      <w:bookmarkStart w:id="166" w:name="_Toc16918868"/>
      <w:bookmarkStart w:id="167" w:name="_Toc19191372"/>
      <w:bookmarkStart w:id="168" w:name="_Toc20304141"/>
      <w:bookmarkStart w:id="169" w:name="_Toc20304201"/>
      <w:bookmarkStart w:id="170" w:name="_Toc20304468"/>
      <w:bookmarkStart w:id="171" w:name="_Toc20735282"/>
      <w:bookmarkStart w:id="172" w:name="_Toc21089970"/>
      <w:bookmarkStart w:id="173" w:name="_Toc21363905"/>
      <w:bookmarkStart w:id="174" w:name="_Toc24038264"/>
      <w:bookmarkStart w:id="175" w:name="_Toc24123742"/>
      <w:bookmarkStart w:id="176" w:name="_Toc24123833"/>
      <w:r w:rsidRPr="00EE2927">
        <w:t>UE-specific DCI carrying a grant for PUSCH with/without UL-SCH</w:t>
      </w:r>
      <w:bookmarkEnd w:id="164"/>
      <w:bookmarkEnd w:id="165"/>
      <w:bookmarkEnd w:id="166"/>
      <w:bookmarkEnd w:id="167"/>
      <w:bookmarkEnd w:id="168"/>
      <w:bookmarkEnd w:id="169"/>
      <w:bookmarkEnd w:id="170"/>
      <w:bookmarkEnd w:id="171"/>
      <w:bookmarkEnd w:id="172"/>
      <w:bookmarkEnd w:id="173"/>
      <w:bookmarkEnd w:id="174"/>
      <w:bookmarkEnd w:id="175"/>
      <w:bookmarkEnd w:id="176"/>
    </w:p>
    <w:p w14:paraId="15E981A6" w14:textId="5866EBC2" w:rsidR="005045A9" w:rsidRPr="00EE2927" w:rsidRDefault="005045A9" w:rsidP="00EE2927">
      <w:pPr>
        <w:pStyle w:val="Proposal"/>
        <w:numPr>
          <w:ilvl w:val="1"/>
          <w:numId w:val="2"/>
        </w:numPr>
      </w:pPr>
      <w:bookmarkStart w:id="177" w:name="_Toc7701976"/>
      <w:bookmarkStart w:id="178" w:name="_Toc16916391"/>
      <w:bookmarkStart w:id="179" w:name="_Toc16918869"/>
      <w:bookmarkStart w:id="180" w:name="_Toc19191373"/>
      <w:bookmarkStart w:id="181" w:name="_Toc20304142"/>
      <w:bookmarkStart w:id="182" w:name="_Toc20304202"/>
      <w:bookmarkStart w:id="183" w:name="_Toc20304469"/>
      <w:bookmarkStart w:id="184" w:name="_Toc20735283"/>
      <w:bookmarkStart w:id="185" w:name="_Toc21089971"/>
      <w:bookmarkStart w:id="186" w:name="_Toc21363906"/>
      <w:bookmarkStart w:id="187" w:name="_Toc24038265"/>
      <w:bookmarkStart w:id="188" w:name="_Toc24123743"/>
      <w:bookmarkStart w:id="189" w:name="_Toc24123834"/>
      <w:r w:rsidRPr="00EE2927">
        <w:t>UE-specific DCI carrying a PDSCH assignment</w:t>
      </w:r>
      <w:bookmarkEnd w:id="177"/>
      <w:bookmarkEnd w:id="178"/>
      <w:bookmarkEnd w:id="179"/>
      <w:bookmarkEnd w:id="180"/>
      <w:bookmarkEnd w:id="181"/>
      <w:bookmarkEnd w:id="182"/>
      <w:bookmarkEnd w:id="183"/>
      <w:bookmarkEnd w:id="184"/>
      <w:bookmarkEnd w:id="185"/>
      <w:bookmarkEnd w:id="186"/>
      <w:bookmarkEnd w:id="187"/>
      <w:bookmarkEnd w:id="188"/>
      <w:bookmarkEnd w:id="189"/>
      <w:r w:rsidRPr="00EE2927">
        <w:t> </w:t>
      </w:r>
    </w:p>
    <w:p w14:paraId="29C6CE68" w14:textId="77777777" w:rsidR="007F5FE4" w:rsidRDefault="007F5FE4" w:rsidP="00EE2927">
      <w:pPr>
        <w:jc w:val="both"/>
        <w:rPr>
          <w:rFonts w:cstheme="minorHAnsi"/>
        </w:rPr>
      </w:pPr>
    </w:p>
    <w:p w14:paraId="3A1F6850" w14:textId="1350DE89" w:rsidR="005045A9" w:rsidRPr="008A0EB7" w:rsidRDefault="005045A9" w:rsidP="00EE2927">
      <w:pPr>
        <w:jc w:val="both"/>
        <w:rPr>
          <w:rFonts w:cstheme="minorHAnsi"/>
        </w:rPr>
      </w:pPr>
      <w:r w:rsidRPr="008A0EB7">
        <w:rPr>
          <w:rFonts w:cstheme="minorHAnsi"/>
        </w:rPr>
        <w:t>For every HARQ process to be reported, the UE reports the corresponding latest NDI value for a latest received PDSCH for that HARQ process along with the corresponding HARQ-ACK for the received PDSCH</w:t>
      </w:r>
      <w:r w:rsidR="0096739F">
        <w:rPr>
          <w:rFonts w:cstheme="minorHAnsi"/>
        </w:rPr>
        <w:t xml:space="preserve"> (i.e. Alternative B)</w:t>
      </w:r>
      <w:r w:rsidRPr="008A0EB7">
        <w:rPr>
          <w:rFonts w:cstheme="minorHAnsi"/>
        </w:rPr>
        <w:t>. The NDI is needed to resolve any ambiguity caused by mis-detected PDCCH. If the NDI value matches the last transmitted value, the gNB assumes that the reported HARQ-ACK feedback correctly corresponds to the HARQ process with pending feedback. Otherwise, the mismatch indicates that the UE is reporting an outdated feedback. In such a case, the gNB discards the reported HARQ-ACK feedback and assume NACK</w:t>
      </w:r>
      <w:r w:rsidR="00DE699E" w:rsidRPr="008A0EB7">
        <w:rPr>
          <w:rFonts w:cstheme="minorHAnsi"/>
        </w:rPr>
        <w:t xml:space="preserve"> for the </w:t>
      </w:r>
      <w:r w:rsidR="00E059E4" w:rsidRPr="008A0EB7">
        <w:rPr>
          <w:rFonts w:cstheme="minorHAnsi"/>
        </w:rPr>
        <w:t xml:space="preserve">corresponding </w:t>
      </w:r>
      <w:r w:rsidR="00DE699E" w:rsidRPr="008A0EB7">
        <w:rPr>
          <w:rFonts w:cstheme="minorHAnsi"/>
        </w:rPr>
        <w:t>HARQ process</w:t>
      </w:r>
      <w:r w:rsidRPr="008A0EB7">
        <w:rPr>
          <w:rFonts w:cstheme="minorHAnsi"/>
        </w:rPr>
        <w:t xml:space="preserve">. </w:t>
      </w:r>
    </w:p>
    <w:p w14:paraId="61F1A8F1" w14:textId="7D9A3CA1" w:rsidR="005045A9" w:rsidRPr="00EE2927" w:rsidRDefault="005045A9" w:rsidP="00EE2927">
      <w:pPr>
        <w:pStyle w:val="Proposal"/>
        <w:ind w:left="2247"/>
        <w:jc w:val="both"/>
      </w:pPr>
      <w:bookmarkStart w:id="190" w:name="_Toc7701977"/>
      <w:bookmarkStart w:id="191" w:name="_Toc16916392"/>
      <w:bookmarkStart w:id="192" w:name="_Toc16918870"/>
      <w:bookmarkStart w:id="193" w:name="_Toc19191374"/>
      <w:bookmarkStart w:id="194" w:name="_Toc20304143"/>
      <w:bookmarkStart w:id="195" w:name="_Toc20304203"/>
      <w:bookmarkStart w:id="196" w:name="_Toc20304470"/>
      <w:bookmarkStart w:id="197" w:name="_Toc20735284"/>
      <w:bookmarkStart w:id="198" w:name="_Toc21089972"/>
      <w:bookmarkStart w:id="199" w:name="_Toc21363907"/>
      <w:bookmarkStart w:id="200" w:name="_Toc24038266"/>
      <w:bookmarkStart w:id="201" w:name="_Toc24123744"/>
      <w:bookmarkStart w:id="202" w:name="_Toc24123835"/>
      <w:r w:rsidRPr="00EE2927">
        <w:t>In response to the trigger reception, for every HARQ process to be reported, the UE reports the corresponding latest NDI value for a latest received PDSCH for that HARQ process along with the corresponding HARQ-ACK for the received PDSCH.</w:t>
      </w:r>
      <w:bookmarkEnd w:id="190"/>
      <w:bookmarkEnd w:id="191"/>
      <w:bookmarkEnd w:id="192"/>
      <w:bookmarkEnd w:id="193"/>
      <w:bookmarkEnd w:id="194"/>
      <w:bookmarkEnd w:id="195"/>
      <w:bookmarkEnd w:id="196"/>
      <w:bookmarkEnd w:id="197"/>
      <w:bookmarkEnd w:id="198"/>
      <w:bookmarkEnd w:id="199"/>
      <w:bookmarkEnd w:id="200"/>
      <w:bookmarkEnd w:id="201"/>
      <w:bookmarkEnd w:id="202"/>
    </w:p>
    <w:p w14:paraId="46D8F2F7" w14:textId="77777777" w:rsidR="0061303D" w:rsidRDefault="0061303D" w:rsidP="00EE2927">
      <w:pPr>
        <w:jc w:val="both"/>
      </w:pPr>
    </w:p>
    <w:p w14:paraId="7FA856B6" w14:textId="0B40D174" w:rsidR="00B8790A" w:rsidRPr="008A0EB7" w:rsidRDefault="00DF008B" w:rsidP="00EE2927">
      <w:pPr>
        <w:jc w:val="both"/>
      </w:pPr>
      <w:r>
        <w:t xml:space="preserve">We think supporting </w:t>
      </w:r>
      <w:r w:rsidR="003D2EE8">
        <w:t xml:space="preserve">one-shot feedback in combination with enhanced dynamic codebook </w:t>
      </w:r>
      <w:r w:rsidR="003F54EE">
        <w:t xml:space="preserve">does not necessarily add a lot of complexity. </w:t>
      </w:r>
      <w:r w:rsidR="00986085" w:rsidRPr="008A0EB7">
        <w:t xml:space="preserve">After correctly receiving the feedback in response of one-shot trigger, the gNB </w:t>
      </w:r>
      <w:r w:rsidR="00BA79E6" w:rsidRPr="008A0EB7">
        <w:t xml:space="preserve">toggles the NFI for all groups. </w:t>
      </w:r>
      <w:r w:rsidR="00986085" w:rsidRPr="008A0EB7">
        <w:t xml:space="preserve">The DAI value for PDSCH groups with a received report for their corresponding HARQ process IDs, are reset to the </w:t>
      </w:r>
      <w:r w:rsidR="004B7C13" w:rsidRPr="008A0EB7">
        <w:t>corresponding initial</w:t>
      </w:r>
      <w:r w:rsidR="00986085" w:rsidRPr="008A0EB7">
        <w:t xml:space="preserve"> value in addition to counting the PDSCH of that group that were not reported due to feedback timing that does not meet the required processing time. </w:t>
      </w:r>
    </w:p>
    <w:p w14:paraId="262C3AC7" w14:textId="7F367DA0" w:rsidR="00B10C9C" w:rsidRPr="00EE2927" w:rsidRDefault="004235AE" w:rsidP="00EE2927">
      <w:pPr>
        <w:pStyle w:val="Proposal"/>
        <w:ind w:left="2247"/>
        <w:jc w:val="both"/>
      </w:pPr>
      <w:bookmarkStart w:id="203" w:name="_Toc16916394"/>
      <w:bookmarkStart w:id="204" w:name="_Toc16918872"/>
      <w:bookmarkStart w:id="205" w:name="_Toc19191376"/>
      <w:bookmarkStart w:id="206" w:name="_Toc20304145"/>
      <w:bookmarkStart w:id="207" w:name="_Toc20304205"/>
      <w:bookmarkStart w:id="208" w:name="_Toc20304472"/>
      <w:bookmarkStart w:id="209" w:name="_Toc20735286"/>
      <w:bookmarkStart w:id="210" w:name="_Toc21089974"/>
      <w:bookmarkStart w:id="211" w:name="_Toc21363909"/>
      <w:bookmarkStart w:id="212" w:name="_Toc24038267"/>
      <w:bookmarkStart w:id="213" w:name="_Toc24123745"/>
      <w:bookmarkStart w:id="214" w:name="_Toc24123836"/>
      <w:r w:rsidRPr="00EE2927">
        <w:t>After correctly receiving the feedback in response of one-shot trigger,</w:t>
      </w:r>
      <w:bookmarkEnd w:id="203"/>
      <w:bookmarkEnd w:id="204"/>
      <w:bookmarkEnd w:id="205"/>
      <w:bookmarkEnd w:id="206"/>
      <w:bookmarkEnd w:id="207"/>
      <w:bookmarkEnd w:id="208"/>
      <w:bookmarkEnd w:id="209"/>
      <w:bookmarkEnd w:id="210"/>
      <w:bookmarkEnd w:id="211"/>
      <w:bookmarkEnd w:id="212"/>
      <w:bookmarkEnd w:id="213"/>
      <w:bookmarkEnd w:id="214"/>
      <w:r w:rsidRPr="00EE2927">
        <w:t xml:space="preserve"> </w:t>
      </w:r>
    </w:p>
    <w:p w14:paraId="725FAB53" w14:textId="1E6BD73C" w:rsidR="004235AE" w:rsidRPr="00EE2927" w:rsidRDefault="004235AE" w:rsidP="00EE2927">
      <w:pPr>
        <w:pStyle w:val="Proposal"/>
        <w:numPr>
          <w:ilvl w:val="1"/>
          <w:numId w:val="2"/>
        </w:numPr>
        <w:jc w:val="both"/>
      </w:pPr>
      <w:bookmarkStart w:id="215" w:name="_Toc16916395"/>
      <w:bookmarkStart w:id="216" w:name="_Toc16918873"/>
      <w:bookmarkStart w:id="217" w:name="_Toc19191377"/>
      <w:bookmarkStart w:id="218" w:name="_Toc20304146"/>
      <w:bookmarkStart w:id="219" w:name="_Toc20304206"/>
      <w:bookmarkStart w:id="220" w:name="_Toc20304473"/>
      <w:bookmarkStart w:id="221" w:name="_Toc20735287"/>
      <w:bookmarkStart w:id="222" w:name="_Toc21089975"/>
      <w:bookmarkStart w:id="223" w:name="_Toc21363910"/>
      <w:bookmarkStart w:id="224" w:name="_Toc24038268"/>
      <w:bookmarkStart w:id="225" w:name="_Toc24123746"/>
      <w:bookmarkStart w:id="226" w:name="_Toc24123837"/>
      <w:r w:rsidRPr="00EE2927">
        <w:t>gNB toggles the NFI for all groups</w:t>
      </w:r>
      <w:bookmarkEnd w:id="215"/>
      <w:bookmarkEnd w:id="216"/>
      <w:bookmarkEnd w:id="217"/>
      <w:bookmarkEnd w:id="218"/>
      <w:bookmarkEnd w:id="219"/>
      <w:bookmarkEnd w:id="220"/>
      <w:bookmarkEnd w:id="221"/>
      <w:bookmarkEnd w:id="222"/>
      <w:bookmarkEnd w:id="223"/>
      <w:bookmarkEnd w:id="224"/>
      <w:bookmarkEnd w:id="225"/>
      <w:bookmarkEnd w:id="226"/>
    </w:p>
    <w:p w14:paraId="3BE768E4" w14:textId="19DAAC4F" w:rsidR="00986085" w:rsidRPr="00EE2927" w:rsidRDefault="004235AE" w:rsidP="00EE2927">
      <w:pPr>
        <w:pStyle w:val="Proposal"/>
        <w:numPr>
          <w:ilvl w:val="1"/>
          <w:numId w:val="2"/>
        </w:numPr>
        <w:jc w:val="both"/>
      </w:pPr>
      <w:bookmarkStart w:id="227" w:name="_Toc16916396"/>
      <w:bookmarkStart w:id="228" w:name="_Toc16918874"/>
      <w:bookmarkStart w:id="229" w:name="_Toc19191378"/>
      <w:bookmarkStart w:id="230" w:name="_Toc20304147"/>
      <w:bookmarkStart w:id="231" w:name="_Toc20304207"/>
      <w:bookmarkStart w:id="232" w:name="_Toc20304474"/>
      <w:bookmarkStart w:id="233" w:name="_Toc20735288"/>
      <w:bookmarkStart w:id="234" w:name="_Toc21089976"/>
      <w:bookmarkStart w:id="235" w:name="_Toc21363911"/>
      <w:bookmarkStart w:id="236" w:name="_Toc24038269"/>
      <w:bookmarkStart w:id="237" w:name="_Toc24123747"/>
      <w:bookmarkStart w:id="238" w:name="_Toc24123838"/>
      <w:r w:rsidRPr="00EE2927">
        <w:t>The DAI value for PDSCH groups with a received report for their corresponding HARQ process IDs, are reset to the corresponding initial value in addition to counting the PDSCH of that group that were not reported due to feedback timing that does not meet the required processing time.</w:t>
      </w:r>
      <w:bookmarkEnd w:id="227"/>
      <w:bookmarkEnd w:id="228"/>
      <w:bookmarkEnd w:id="229"/>
      <w:bookmarkEnd w:id="230"/>
      <w:bookmarkEnd w:id="231"/>
      <w:bookmarkEnd w:id="232"/>
      <w:bookmarkEnd w:id="233"/>
      <w:bookmarkEnd w:id="234"/>
      <w:bookmarkEnd w:id="235"/>
      <w:bookmarkEnd w:id="236"/>
      <w:bookmarkEnd w:id="237"/>
      <w:bookmarkEnd w:id="238"/>
    </w:p>
    <w:p w14:paraId="6839CE6D" w14:textId="3FE6B313" w:rsidR="005045A9" w:rsidRPr="00F95613" w:rsidRDefault="005045A9" w:rsidP="00F81320">
      <w:pPr>
        <w:pStyle w:val="Heading2"/>
      </w:pPr>
      <w:r w:rsidRPr="00F95613">
        <w:lastRenderedPageBreak/>
        <w:t>HARQ A/N transmission</w:t>
      </w:r>
      <w:r w:rsidR="004C60C5" w:rsidRPr="00F95613">
        <w:t xml:space="preserve"> in case of </w:t>
      </w:r>
      <w:r w:rsidR="00256479" w:rsidRPr="00F95613">
        <w:t>C</w:t>
      </w:r>
      <w:r w:rsidR="004C60C5" w:rsidRPr="00F95613">
        <w:t xml:space="preserve">arrier </w:t>
      </w:r>
      <w:r w:rsidR="00256479" w:rsidRPr="00F95613">
        <w:t>A</w:t>
      </w:r>
      <w:r w:rsidR="004C60C5" w:rsidRPr="00F95613">
        <w:t xml:space="preserve">ggregation </w:t>
      </w:r>
      <w:r w:rsidR="00DB76B5" w:rsidRPr="00F95613">
        <w:t>and Wideban</w:t>
      </w:r>
      <w:r w:rsidR="00295E7E" w:rsidRPr="00F95613">
        <w:t>d Operation</w:t>
      </w:r>
    </w:p>
    <w:p w14:paraId="0CB10A03" w14:textId="2F75DD69" w:rsidR="005045A9" w:rsidRPr="008A0EB7" w:rsidRDefault="005045A9" w:rsidP="005045A9">
      <w:pPr>
        <w:pStyle w:val="BodyText"/>
        <w:keepLines/>
        <w:tabs>
          <w:tab w:val="left" w:pos="2552"/>
          <w:tab w:val="left" w:pos="3856"/>
          <w:tab w:val="left" w:pos="5216"/>
          <w:tab w:val="left" w:pos="6464"/>
          <w:tab w:val="left" w:pos="7768"/>
          <w:tab w:val="left" w:pos="9072"/>
          <w:tab w:val="left" w:pos="9639"/>
        </w:tabs>
        <w:spacing w:before="240" w:after="0"/>
        <w:rPr>
          <w:rFonts w:asciiTheme="minorHAnsi" w:hAnsiTheme="minorHAnsi" w:cstheme="minorHAnsi"/>
        </w:rPr>
      </w:pPr>
      <w:r w:rsidRPr="008A0EB7">
        <w:rPr>
          <w:rFonts w:asciiTheme="minorHAnsi" w:hAnsiTheme="minorHAnsi" w:cstheme="minorHAnsi"/>
        </w:rPr>
        <w:t>In Rel-15 NR, feedback information from multiple DL carriers can be grouped and transmitted on PCell, or</w:t>
      </w:r>
      <w:r w:rsidR="00F94B30" w:rsidRPr="008A0EB7">
        <w:rPr>
          <w:rFonts w:asciiTheme="minorHAnsi" w:hAnsiTheme="minorHAnsi" w:cstheme="minorHAnsi"/>
        </w:rPr>
        <w:t xml:space="preserve"> PS</w:t>
      </w:r>
      <w:r w:rsidR="00337275" w:rsidRPr="008A0EB7">
        <w:rPr>
          <w:rFonts w:asciiTheme="minorHAnsi" w:hAnsiTheme="minorHAnsi" w:cstheme="minorHAnsi"/>
        </w:rPr>
        <w:t>Cell of</w:t>
      </w:r>
      <w:r w:rsidRPr="008A0EB7">
        <w:rPr>
          <w:rFonts w:asciiTheme="minorHAnsi" w:hAnsiTheme="minorHAnsi" w:cstheme="minorHAnsi"/>
        </w:rPr>
        <w:t xml:space="preserve"> PUCCH-SCell. For NR-U, these cells are not always available for transmissions due to LBT. A clear enhancement is to enable transmission of HARQ-ACK feedback on any carrier that a gNB acquires a COT by benefiting the shared COT principles. </w:t>
      </w:r>
    </w:p>
    <w:p w14:paraId="42B020B3" w14:textId="30CB53DF" w:rsidR="0026248B" w:rsidRPr="008A0EB7" w:rsidRDefault="0058304C" w:rsidP="006C656A">
      <w:pPr>
        <w:pStyle w:val="BodyText"/>
        <w:keepLines/>
        <w:tabs>
          <w:tab w:val="left" w:pos="2552"/>
          <w:tab w:val="left" w:pos="3856"/>
          <w:tab w:val="left" w:pos="5216"/>
          <w:tab w:val="left" w:pos="6464"/>
          <w:tab w:val="left" w:pos="7768"/>
          <w:tab w:val="left" w:pos="9072"/>
          <w:tab w:val="left" w:pos="9639"/>
        </w:tabs>
        <w:spacing w:before="240" w:after="0"/>
        <w:rPr>
          <w:rFonts w:asciiTheme="minorHAnsi" w:hAnsiTheme="minorHAnsi" w:cstheme="minorHAnsi"/>
        </w:rPr>
      </w:pPr>
      <w:r w:rsidRPr="008A0EB7">
        <w:rPr>
          <w:rFonts w:asciiTheme="minorHAnsi" w:hAnsiTheme="minorHAnsi" w:cstheme="minorHAnsi"/>
        </w:rPr>
        <w:t xml:space="preserve">NR already supports </w:t>
      </w:r>
      <w:r w:rsidR="0051769E" w:rsidRPr="008A0EB7">
        <w:rPr>
          <w:rFonts w:asciiTheme="minorHAnsi" w:hAnsiTheme="minorHAnsi" w:cstheme="minorHAnsi"/>
        </w:rPr>
        <w:t xml:space="preserve">multiplexing of UCI </w:t>
      </w:r>
      <w:r w:rsidR="00365646" w:rsidRPr="008A0EB7">
        <w:rPr>
          <w:rFonts w:asciiTheme="minorHAnsi" w:hAnsiTheme="minorHAnsi" w:cstheme="minorHAnsi"/>
        </w:rPr>
        <w:t xml:space="preserve">on PUSCH without UL-SCH. </w:t>
      </w:r>
      <w:r w:rsidR="0026248B" w:rsidRPr="008A0EB7">
        <w:rPr>
          <w:rFonts w:asciiTheme="minorHAnsi" w:hAnsiTheme="minorHAnsi" w:cstheme="minorHAnsi"/>
        </w:rPr>
        <w:t>38.213</w:t>
      </w:r>
      <w:r w:rsidR="00366C56" w:rsidRPr="008A0EB7">
        <w:rPr>
          <w:rFonts w:asciiTheme="minorHAnsi" w:hAnsiTheme="minorHAnsi" w:cstheme="minorHAnsi"/>
        </w:rPr>
        <w:t xml:space="preserve"> states</w:t>
      </w:r>
      <w:r w:rsidR="0026248B" w:rsidRPr="008A0EB7">
        <w:rPr>
          <w:rFonts w:asciiTheme="minorHAnsi" w:hAnsiTheme="minorHAnsi" w:cstheme="minorHAnsi"/>
        </w:rPr>
        <w:t>:</w:t>
      </w:r>
    </w:p>
    <w:p w14:paraId="38EEB924" w14:textId="32C64F8C" w:rsidR="00A71C95" w:rsidRPr="008A0EB7" w:rsidRDefault="00505011" w:rsidP="009E73C1">
      <w:pPr>
        <w:pStyle w:val="BodyText"/>
        <w:keepLines/>
        <w:tabs>
          <w:tab w:val="left" w:pos="2552"/>
          <w:tab w:val="left" w:pos="3856"/>
          <w:tab w:val="left" w:pos="5216"/>
          <w:tab w:val="left" w:pos="6464"/>
          <w:tab w:val="left" w:pos="7768"/>
          <w:tab w:val="left" w:pos="9072"/>
          <w:tab w:val="left" w:pos="9639"/>
        </w:tabs>
        <w:spacing w:before="240" w:after="0"/>
        <w:ind w:left="567"/>
        <w:rPr>
          <w:rFonts w:ascii="Times New Roman" w:hAnsi="Times New Roman" w:cs="Times New Roman"/>
          <w:i/>
        </w:rPr>
      </w:pPr>
      <w:r w:rsidRPr="008A0EB7">
        <w:rPr>
          <w:rFonts w:ascii="Times New Roman" w:hAnsi="Times New Roman" w:cs="Times New Roman"/>
          <w:i/>
        </w:rPr>
        <w:t>If a UE would multiplex UCI in a PUCCH transmission that overlaps with a PUSCH transmission, and the PUSCH and PUCCH transmissions fulfill the conditions in Subclause 9.2.5 in 38.213 for UCI multiplexing, the UE multiplexes the UCI in the PUSCH transmission and does not transmit the PUCCH.</w:t>
      </w:r>
      <w:r w:rsidR="003166AB" w:rsidRPr="008A0EB7">
        <w:rPr>
          <w:rFonts w:ascii="Times New Roman" w:hAnsi="Times New Roman" w:cs="Times New Roman"/>
          <w:i/>
        </w:rPr>
        <w:t xml:space="preserve"> </w:t>
      </w:r>
    </w:p>
    <w:p w14:paraId="00A31AD6" w14:textId="6E68CFCD" w:rsidR="00294590" w:rsidRPr="008A0EB7" w:rsidRDefault="00B027A7" w:rsidP="009E73C1">
      <w:pPr>
        <w:pStyle w:val="BodyText"/>
        <w:keepLines/>
        <w:tabs>
          <w:tab w:val="left" w:pos="2552"/>
          <w:tab w:val="left" w:pos="3856"/>
          <w:tab w:val="left" w:pos="5216"/>
          <w:tab w:val="left" w:pos="6464"/>
          <w:tab w:val="left" w:pos="7768"/>
          <w:tab w:val="left" w:pos="9072"/>
          <w:tab w:val="left" w:pos="9639"/>
        </w:tabs>
        <w:spacing w:before="240" w:after="0"/>
        <w:ind w:left="567"/>
        <w:rPr>
          <w:rFonts w:ascii="Times New Roman" w:hAnsi="Times New Roman" w:cs="Times New Roman"/>
          <w:i/>
        </w:rPr>
      </w:pPr>
      <w:r w:rsidRPr="008A0EB7">
        <w:rPr>
          <w:rFonts w:ascii="Times New Roman" w:hAnsi="Times New Roman" w:cs="Times New Roman"/>
          <w:i/>
        </w:rPr>
        <w:t>If a UE transmits multiple PUSCHs in a slot on respective serving cells and the UE would multiplex UCI in one of the multiple PUSCHs and the UE does not multiplex aperiodic CSI in any of the multiple PUSCHs, the UE multiplexes the UCI in a PUSCH of the serving cell with the smallest ServCellIndex subject to the conditions in Subclause 9.2.5 in 38.213 for UCI multiplexing being fulfilled. If the UE transmits more than one PUSCHs in the slot on the serving cell with the smallest ServCellIndex that fulfil the conditions in Subclause 9.2.5 for UCI multiplexing, the UE multiplexes the UCI in the earliest PUSCH that the UE transmits in the slot.</w:t>
      </w:r>
    </w:p>
    <w:p w14:paraId="01C75AD4" w14:textId="57BBC67B" w:rsidR="00F6283C" w:rsidRPr="008A0EB7" w:rsidRDefault="008F6394" w:rsidP="00F6283C">
      <w:pPr>
        <w:pStyle w:val="BodyText"/>
        <w:keepLines/>
        <w:tabs>
          <w:tab w:val="left" w:pos="2552"/>
          <w:tab w:val="left" w:pos="3856"/>
          <w:tab w:val="left" w:pos="5216"/>
          <w:tab w:val="left" w:pos="6464"/>
          <w:tab w:val="left" w:pos="7768"/>
          <w:tab w:val="left" w:pos="9072"/>
          <w:tab w:val="left" w:pos="9639"/>
        </w:tabs>
        <w:spacing w:before="240" w:after="0"/>
        <w:rPr>
          <w:rFonts w:asciiTheme="minorHAnsi" w:hAnsiTheme="minorHAnsi" w:cstheme="minorHAnsi"/>
        </w:rPr>
      </w:pPr>
      <w:r w:rsidRPr="008A0EB7">
        <w:rPr>
          <w:rFonts w:asciiTheme="minorHAnsi" w:hAnsiTheme="minorHAnsi" w:cstheme="minorHAnsi"/>
        </w:rPr>
        <w:t>If the gNB fail to access channel on the carrier configured as PUCCH-cell, the</w:t>
      </w:r>
      <w:r w:rsidR="00D73D8D" w:rsidRPr="008A0EB7">
        <w:rPr>
          <w:rFonts w:asciiTheme="minorHAnsi" w:hAnsiTheme="minorHAnsi" w:cstheme="minorHAnsi"/>
        </w:rPr>
        <w:t xml:space="preserve"> feedback can still be multiplexed</w:t>
      </w:r>
      <w:r w:rsidR="0080050D" w:rsidRPr="008A0EB7">
        <w:rPr>
          <w:rFonts w:asciiTheme="minorHAnsi" w:hAnsiTheme="minorHAnsi" w:cstheme="minorHAnsi"/>
        </w:rPr>
        <w:t xml:space="preserve"> in PUSCH of the serving cell with the smallest ServCellIndex among the</w:t>
      </w:r>
      <w:r w:rsidR="00A812BE" w:rsidRPr="008A0EB7">
        <w:rPr>
          <w:rFonts w:asciiTheme="minorHAnsi" w:hAnsiTheme="minorHAnsi" w:cstheme="minorHAnsi"/>
        </w:rPr>
        <w:t xml:space="preserve"> cells with PUSCH resources. </w:t>
      </w:r>
      <w:r w:rsidR="002E7DF1" w:rsidRPr="008A0EB7">
        <w:rPr>
          <w:rFonts w:asciiTheme="minorHAnsi" w:hAnsiTheme="minorHAnsi" w:cstheme="minorHAnsi"/>
        </w:rPr>
        <w:t>However, NR rel-15 does not provide the flexibility to send PUSCH without UL-SCH</w:t>
      </w:r>
      <w:r w:rsidR="00586DBF" w:rsidRPr="008A0EB7">
        <w:rPr>
          <w:rFonts w:asciiTheme="minorHAnsi" w:hAnsiTheme="minorHAnsi" w:cstheme="minorHAnsi"/>
        </w:rPr>
        <w:t xml:space="preserve"> multiplexed with UCI unless aperiodic CSI </w:t>
      </w:r>
      <w:r w:rsidR="006757F2" w:rsidRPr="008A0EB7">
        <w:rPr>
          <w:rFonts w:asciiTheme="minorHAnsi" w:hAnsiTheme="minorHAnsi" w:cstheme="minorHAnsi"/>
        </w:rPr>
        <w:t xml:space="preserve">is </w:t>
      </w:r>
      <w:r w:rsidR="00586DBF" w:rsidRPr="008A0EB7">
        <w:rPr>
          <w:rFonts w:asciiTheme="minorHAnsi" w:hAnsiTheme="minorHAnsi" w:cstheme="minorHAnsi"/>
        </w:rPr>
        <w:t xml:space="preserve">requested for this PUSCH transmission. It </w:t>
      </w:r>
      <w:r w:rsidR="00D60305" w:rsidRPr="008A0EB7">
        <w:rPr>
          <w:rFonts w:asciiTheme="minorHAnsi" w:hAnsiTheme="minorHAnsi" w:cstheme="minorHAnsi"/>
        </w:rPr>
        <w:t>would</w:t>
      </w:r>
      <w:r w:rsidR="00586DBF" w:rsidRPr="008A0EB7">
        <w:rPr>
          <w:rFonts w:asciiTheme="minorHAnsi" w:hAnsiTheme="minorHAnsi" w:cstheme="minorHAnsi"/>
        </w:rPr>
        <w:t xml:space="preserve"> be beneficial for NR-U to relax </w:t>
      </w:r>
      <w:r w:rsidR="003B3216" w:rsidRPr="008A0EB7">
        <w:rPr>
          <w:rFonts w:asciiTheme="minorHAnsi" w:hAnsiTheme="minorHAnsi" w:cstheme="minorHAnsi"/>
        </w:rPr>
        <w:t xml:space="preserve">this requirement </w:t>
      </w:r>
      <w:r w:rsidR="00586DBF" w:rsidRPr="008A0EB7">
        <w:rPr>
          <w:rFonts w:asciiTheme="minorHAnsi" w:hAnsiTheme="minorHAnsi" w:cstheme="minorHAnsi"/>
        </w:rPr>
        <w:t xml:space="preserve">so that PUSCH without UL-SCH can carry </w:t>
      </w:r>
      <w:r w:rsidR="00F6283C" w:rsidRPr="008A0EB7">
        <w:rPr>
          <w:rFonts w:asciiTheme="minorHAnsi" w:hAnsiTheme="minorHAnsi" w:cstheme="minorHAnsi"/>
        </w:rPr>
        <w:t xml:space="preserve">HARQ Ack feedback even if aperiodic CSI is not requested for this PUSCH transmission.  This would require </w:t>
      </w:r>
      <w:r w:rsidR="00462650" w:rsidRPr="008A0EB7">
        <w:rPr>
          <w:rFonts w:asciiTheme="minorHAnsi" w:hAnsiTheme="minorHAnsi" w:cstheme="minorHAnsi"/>
        </w:rPr>
        <w:t xml:space="preserve">very simple changes to 38.213 and </w:t>
      </w:r>
      <w:r w:rsidR="00856C1F" w:rsidRPr="008A0EB7">
        <w:rPr>
          <w:rFonts w:asciiTheme="minorHAnsi" w:hAnsiTheme="minorHAnsi" w:cstheme="minorHAnsi"/>
        </w:rPr>
        <w:t xml:space="preserve">38.212. </w:t>
      </w:r>
      <w:r w:rsidR="00E36EB3" w:rsidRPr="008A0EB7">
        <w:rPr>
          <w:rFonts w:asciiTheme="minorHAnsi" w:hAnsiTheme="minorHAnsi" w:cstheme="minorHAnsi"/>
        </w:rPr>
        <w:t xml:space="preserve">Below we list the anticipated changes to the </w:t>
      </w:r>
      <w:r w:rsidR="00B17D09" w:rsidRPr="008A0EB7">
        <w:rPr>
          <w:rFonts w:asciiTheme="minorHAnsi" w:hAnsiTheme="minorHAnsi" w:cstheme="minorHAnsi"/>
        </w:rPr>
        <w:t xml:space="preserve">MAC </w:t>
      </w:r>
      <w:r w:rsidR="00E36EB3" w:rsidRPr="008A0EB7">
        <w:rPr>
          <w:rFonts w:asciiTheme="minorHAnsi" w:hAnsiTheme="minorHAnsi" w:cstheme="minorHAnsi"/>
        </w:rPr>
        <w:t xml:space="preserve">specification. </w:t>
      </w:r>
    </w:p>
    <w:p w14:paraId="0DCDCB2D" w14:textId="77777777" w:rsidR="00B17D09" w:rsidRPr="008A0EB7" w:rsidRDefault="00B17D09" w:rsidP="0035733F">
      <w:pPr>
        <w:autoSpaceDE w:val="0"/>
        <w:autoSpaceDN w:val="0"/>
        <w:spacing w:before="40" w:after="40"/>
        <w:ind w:left="567"/>
        <w:rPr>
          <w:rFonts w:ascii="Times New Roman" w:hAnsi="Times New Roman" w:cs="Times New Roman"/>
          <w:i/>
          <w:sz w:val="24"/>
          <w:szCs w:val="24"/>
        </w:rPr>
      </w:pPr>
    </w:p>
    <w:p w14:paraId="292D7CA3" w14:textId="475E757B" w:rsidR="00DB76B5" w:rsidRPr="008A0EB7" w:rsidRDefault="00DB76B5" w:rsidP="009E73C1">
      <w:pPr>
        <w:autoSpaceDE w:val="0"/>
        <w:autoSpaceDN w:val="0"/>
        <w:spacing w:before="40" w:after="40"/>
        <w:ind w:left="567"/>
        <w:rPr>
          <w:rFonts w:ascii="Times New Roman" w:hAnsi="Times New Roman" w:cs="Times New Roman"/>
          <w:i/>
        </w:rPr>
      </w:pPr>
      <w:r w:rsidRPr="008A0EB7">
        <w:rPr>
          <w:rFonts w:ascii="Times New Roman" w:hAnsi="Times New Roman" w:cs="Times New Roman"/>
          <w:i/>
          <w:sz w:val="24"/>
          <w:szCs w:val="24"/>
        </w:rPr>
        <w:t>The MAC entity shall not generate a MAC PDU for the HARQ entity if the following conditions are satisfied:</w:t>
      </w:r>
    </w:p>
    <w:p w14:paraId="511338AE" w14:textId="77777777" w:rsidR="00DB76B5" w:rsidRPr="008A0EB7" w:rsidRDefault="00DB76B5" w:rsidP="009E73C1">
      <w:pPr>
        <w:autoSpaceDE w:val="0"/>
        <w:autoSpaceDN w:val="0"/>
        <w:spacing w:before="40" w:after="40"/>
        <w:ind w:left="567"/>
        <w:rPr>
          <w:rFonts w:ascii="Times New Roman" w:hAnsi="Times New Roman" w:cs="Times New Roman"/>
          <w:i/>
        </w:rPr>
      </w:pPr>
      <w:r w:rsidRPr="008A0EB7">
        <w:rPr>
          <w:rFonts w:ascii="Times New Roman" w:hAnsi="Times New Roman" w:cs="Times New Roman"/>
          <w:i/>
          <w:sz w:val="24"/>
          <w:szCs w:val="24"/>
        </w:rPr>
        <w:t>-     the MAC entity is configured with skipUplinkTxDynamic with value true and the grant indicated to the HARQ entity was addressed to a C-RNTI, or the grant indicated to the HARQ entity is a configured uplink grant; and</w:t>
      </w:r>
    </w:p>
    <w:p w14:paraId="69723F47" w14:textId="36470438" w:rsidR="00DB76B5" w:rsidRPr="008A0EB7" w:rsidRDefault="00DB76B5" w:rsidP="009E73C1">
      <w:pPr>
        <w:autoSpaceDE w:val="0"/>
        <w:autoSpaceDN w:val="0"/>
        <w:spacing w:before="40" w:after="40"/>
        <w:ind w:left="567"/>
        <w:rPr>
          <w:rFonts w:ascii="Times New Roman" w:hAnsi="Times New Roman" w:cs="Times New Roman"/>
          <w:i/>
        </w:rPr>
      </w:pPr>
      <w:r w:rsidRPr="008A0EB7">
        <w:rPr>
          <w:rFonts w:ascii="Times New Roman" w:hAnsi="Times New Roman" w:cs="Times New Roman"/>
          <w:i/>
          <w:sz w:val="24"/>
          <w:szCs w:val="24"/>
        </w:rPr>
        <w:t xml:space="preserve">-     there is no aperiodic CSI </w:t>
      </w:r>
      <w:r w:rsidRPr="008A0EB7">
        <w:rPr>
          <w:rFonts w:ascii="Times New Roman" w:hAnsi="Times New Roman" w:cs="Times New Roman"/>
          <w:i/>
          <w:color w:val="FF0000"/>
          <w:sz w:val="24"/>
          <w:szCs w:val="24"/>
        </w:rPr>
        <w:t xml:space="preserve">and/or HARQ feedback </w:t>
      </w:r>
      <w:r w:rsidRPr="008A0EB7">
        <w:rPr>
          <w:rFonts w:ascii="Times New Roman" w:hAnsi="Times New Roman" w:cs="Times New Roman"/>
          <w:i/>
          <w:sz w:val="24"/>
          <w:szCs w:val="24"/>
        </w:rPr>
        <w:t>requested for this PUSCH transmission as specified in TS 38.212 [9]; and</w:t>
      </w:r>
    </w:p>
    <w:p w14:paraId="5EF27F5A" w14:textId="77777777" w:rsidR="00DB76B5" w:rsidRPr="008A0EB7" w:rsidRDefault="00DB76B5" w:rsidP="009E73C1">
      <w:pPr>
        <w:autoSpaceDE w:val="0"/>
        <w:autoSpaceDN w:val="0"/>
        <w:spacing w:before="40" w:after="40"/>
        <w:ind w:left="567"/>
        <w:rPr>
          <w:rFonts w:ascii="Times New Roman" w:hAnsi="Times New Roman" w:cs="Times New Roman"/>
          <w:i/>
        </w:rPr>
      </w:pPr>
      <w:r w:rsidRPr="008A0EB7">
        <w:rPr>
          <w:rFonts w:ascii="Times New Roman" w:hAnsi="Times New Roman" w:cs="Times New Roman"/>
          <w:i/>
          <w:sz w:val="24"/>
          <w:szCs w:val="24"/>
        </w:rPr>
        <w:t>-     the MAC PDU includes zero MAC SDUs; and</w:t>
      </w:r>
    </w:p>
    <w:p w14:paraId="210A617A" w14:textId="17BA1E1C" w:rsidR="001A091E" w:rsidRPr="008A0EB7" w:rsidRDefault="00DB76B5" w:rsidP="00446A59">
      <w:pPr>
        <w:autoSpaceDE w:val="0"/>
        <w:autoSpaceDN w:val="0"/>
        <w:spacing w:before="40" w:after="40"/>
        <w:ind w:left="567"/>
        <w:rPr>
          <w:rFonts w:ascii="Times New Roman" w:hAnsi="Times New Roman" w:cs="Times New Roman"/>
          <w:i/>
        </w:rPr>
      </w:pPr>
      <w:r w:rsidRPr="008A0EB7">
        <w:rPr>
          <w:rFonts w:ascii="Times New Roman" w:hAnsi="Times New Roman" w:cs="Times New Roman"/>
          <w:i/>
          <w:sz w:val="24"/>
          <w:szCs w:val="24"/>
        </w:rPr>
        <w:t>-     the MAC PDU includes only the periodic BSR and there is no data available for any LCG, or the MAC PDU includes only the padding BSR.</w:t>
      </w:r>
      <w:r w:rsidRPr="008A0EB7">
        <w:rPr>
          <w:rFonts w:ascii="Times New Roman" w:hAnsi="Times New Roman" w:cs="Times New Roman"/>
          <w:i/>
          <w:color w:val="000000"/>
          <w:sz w:val="20"/>
          <w:szCs w:val="20"/>
        </w:rPr>
        <w:t xml:space="preserve"> </w:t>
      </w:r>
    </w:p>
    <w:p w14:paraId="20BF620D" w14:textId="77777777" w:rsidR="00FD6AAB" w:rsidRPr="008A0EB7" w:rsidRDefault="001A091E" w:rsidP="009E73C1">
      <w:pPr>
        <w:pStyle w:val="BodyText"/>
        <w:keepLines/>
        <w:tabs>
          <w:tab w:val="left" w:pos="2552"/>
          <w:tab w:val="left" w:pos="3856"/>
          <w:tab w:val="left" w:pos="5216"/>
          <w:tab w:val="left" w:pos="6464"/>
          <w:tab w:val="left" w:pos="7768"/>
          <w:tab w:val="left" w:pos="9072"/>
          <w:tab w:val="left" w:pos="9639"/>
        </w:tabs>
        <w:spacing w:before="240" w:after="0"/>
        <w:rPr>
          <w:rFonts w:asciiTheme="minorHAnsi" w:hAnsiTheme="minorHAnsi" w:cstheme="minorHAnsi"/>
        </w:rPr>
      </w:pPr>
      <w:r w:rsidRPr="008A0EB7">
        <w:rPr>
          <w:rFonts w:asciiTheme="minorHAnsi" w:hAnsiTheme="minorHAnsi" w:cstheme="minorHAnsi"/>
        </w:rPr>
        <w:t>With this relaxation, the gNB can trigger feedback transmission in PUSCH without UL-SCH</w:t>
      </w:r>
      <w:r w:rsidR="00052CE8" w:rsidRPr="008A0EB7">
        <w:rPr>
          <w:rFonts w:asciiTheme="minorHAnsi" w:hAnsiTheme="minorHAnsi" w:cstheme="minorHAnsi"/>
        </w:rPr>
        <w:t xml:space="preserve"> and without unnecessarily triggering a</w:t>
      </w:r>
      <w:r w:rsidR="00F41952" w:rsidRPr="008A0EB7">
        <w:rPr>
          <w:rFonts w:asciiTheme="minorHAnsi" w:hAnsiTheme="minorHAnsi" w:cstheme="minorHAnsi"/>
        </w:rPr>
        <w:t>periodic CSI report using DCI 0_1</w:t>
      </w:r>
      <w:r w:rsidR="00FD6AAB" w:rsidRPr="008A0EB7">
        <w:rPr>
          <w:rFonts w:asciiTheme="minorHAnsi" w:hAnsiTheme="minorHAnsi" w:cstheme="minorHAnsi"/>
        </w:rPr>
        <w:t xml:space="preserve"> via signalling: </w:t>
      </w:r>
    </w:p>
    <w:p w14:paraId="1E83FD80" w14:textId="77777777" w:rsidR="0035733F" w:rsidRPr="009E73C1" w:rsidRDefault="0035733F" w:rsidP="00BF14D5">
      <w:pPr>
        <w:pStyle w:val="BodyText"/>
        <w:keepLines/>
        <w:numPr>
          <w:ilvl w:val="0"/>
          <w:numId w:val="13"/>
        </w:numPr>
        <w:tabs>
          <w:tab w:val="left" w:pos="2552"/>
          <w:tab w:val="left" w:pos="3856"/>
          <w:tab w:val="left" w:pos="5216"/>
          <w:tab w:val="left" w:pos="6464"/>
          <w:tab w:val="left" w:pos="7768"/>
          <w:tab w:val="left" w:pos="9072"/>
          <w:tab w:val="left" w:pos="9639"/>
        </w:tabs>
        <w:spacing w:after="0"/>
        <w:rPr>
          <w:rFonts w:asciiTheme="minorHAnsi" w:hAnsiTheme="minorHAnsi" w:cstheme="minorHAnsi"/>
        </w:rPr>
      </w:pPr>
      <w:r w:rsidRPr="009E73C1">
        <w:rPr>
          <w:rFonts w:asciiTheme="minorHAnsi" w:hAnsiTheme="minorHAnsi" w:cstheme="minorHAnsi" w:hint="eastAsia"/>
        </w:rPr>
        <w:t xml:space="preserve">UL-SCH </w:t>
      </w:r>
      <w:r w:rsidRPr="009E73C1">
        <w:rPr>
          <w:rFonts w:asciiTheme="minorHAnsi" w:hAnsiTheme="minorHAnsi" w:cstheme="minorHAnsi"/>
        </w:rPr>
        <w:t>indicator</w:t>
      </w:r>
      <w:r w:rsidRPr="009E73C1">
        <w:rPr>
          <w:rFonts w:asciiTheme="minorHAnsi" w:hAnsiTheme="minorHAnsi" w:cstheme="minorHAnsi" w:hint="eastAsia"/>
        </w:rPr>
        <w:t xml:space="preserve"> of </w:t>
      </w:r>
      <w:r w:rsidRPr="009E73C1">
        <w:rPr>
          <w:rFonts w:asciiTheme="minorHAnsi" w:hAnsiTheme="minorHAnsi" w:cstheme="minorHAnsi"/>
        </w:rPr>
        <w:t>"</w:t>
      </w:r>
      <w:r w:rsidRPr="009E73C1">
        <w:rPr>
          <w:rFonts w:asciiTheme="minorHAnsi" w:hAnsiTheme="minorHAnsi" w:cstheme="minorHAnsi" w:hint="eastAsia"/>
        </w:rPr>
        <w:t>0</w:t>
      </w:r>
      <w:r w:rsidRPr="009E73C1">
        <w:rPr>
          <w:rFonts w:asciiTheme="minorHAnsi" w:hAnsiTheme="minorHAnsi" w:cstheme="minorHAnsi"/>
        </w:rPr>
        <w:t>"</w:t>
      </w:r>
      <w:r w:rsidRPr="009E73C1">
        <w:rPr>
          <w:rFonts w:asciiTheme="minorHAnsi" w:hAnsiTheme="minorHAnsi" w:cstheme="minorHAnsi" w:hint="eastAsia"/>
        </w:rPr>
        <w:t xml:space="preserve"> </w:t>
      </w:r>
    </w:p>
    <w:p w14:paraId="48A0ECB1" w14:textId="244C897C" w:rsidR="0035733F" w:rsidRPr="009E73C1" w:rsidRDefault="0035733F" w:rsidP="00BF14D5">
      <w:pPr>
        <w:pStyle w:val="BodyText"/>
        <w:keepLines/>
        <w:numPr>
          <w:ilvl w:val="0"/>
          <w:numId w:val="13"/>
        </w:numPr>
        <w:tabs>
          <w:tab w:val="left" w:pos="2552"/>
          <w:tab w:val="left" w:pos="3856"/>
          <w:tab w:val="left" w:pos="5216"/>
          <w:tab w:val="left" w:pos="6464"/>
          <w:tab w:val="left" w:pos="7768"/>
          <w:tab w:val="left" w:pos="9072"/>
          <w:tab w:val="left" w:pos="9639"/>
        </w:tabs>
        <w:spacing w:after="0"/>
        <w:rPr>
          <w:rFonts w:asciiTheme="minorHAnsi" w:hAnsiTheme="minorHAnsi" w:cstheme="minorHAnsi"/>
        </w:rPr>
      </w:pPr>
      <w:r w:rsidRPr="008A0EB7">
        <w:rPr>
          <w:rFonts w:asciiTheme="minorHAnsi" w:hAnsiTheme="minorHAnsi" w:cstheme="minorHAnsi"/>
        </w:rPr>
        <w:t>CSI request of all zero(s) or non-zero CSI request field, but the triggered CSI report configuration indicates that no report is required</w:t>
      </w:r>
      <w:r w:rsidR="00641A5F" w:rsidRPr="008A0EB7">
        <w:rPr>
          <w:rFonts w:asciiTheme="minorHAnsi" w:hAnsiTheme="minorHAnsi" w:cstheme="minorHAnsi"/>
        </w:rPr>
        <w:t xml:space="preserve">. </w:t>
      </w:r>
      <w:r w:rsidR="00641A5F" w:rsidRPr="009E73C1">
        <w:rPr>
          <w:rFonts w:asciiTheme="minorHAnsi" w:hAnsiTheme="minorHAnsi" w:cstheme="minorHAnsi"/>
        </w:rPr>
        <w:t>Both options can be considered</w:t>
      </w:r>
    </w:p>
    <w:p w14:paraId="7A06C54E" w14:textId="37938AB2" w:rsidR="00EC31BE" w:rsidRPr="008A0EB7" w:rsidRDefault="0035733F" w:rsidP="00BF14D5">
      <w:pPr>
        <w:pStyle w:val="BodyText"/>
        <w:keepLines/>
        <w:numPr>
          <w:ilvl w:val="0"/>
          <w:numId w:val="13"/>
        </w:numPr>
        <w:tabs>
          <w:tab w:val="left" w:pos="2552"/>
          <w:tab w:val="left" w:pos="3856"/>
          <w:tab w:val="left" w:pos="5216"/>
          <w:tab w:val="left" w:pos="6464"/>
          <w:tab w:val="left" w:pos="7768"/>
          <w:tab w:val="left" w:pos="9072"/>
          <w:tab w:val="left" w:pos="9639"/>
        </w:tabs>
        <w:rPr>
          <w:rFonts w:asciiTheme="minorHAnsi" w:hAnsiTheme="minorHAnsi" w:cstheme="minorHAnsi"/>
        </w:rPr>
      </w:pPr>
      <w:r w:rsidRPr="008A0EB7">
        <w:rPr>
          <w:rFonts w:asciiTheme="minorHAnsi" w:hAnsiTheme="minorHAnsi" w:cstheme="minorHAnsi"/>
        </w:rPr>
        <w:t xml:space="preserve">DAI value that indicates the presence of UCI.  </w:t>
      </w:r>
    </w:p>
    <w:p w14:paraId="06FE3547" w14:textId="595A3DFC" w:rsidR="00CB13E7" w:rsidRPr="00EE2927" w:rsidRDefault="00641A5F" w:rsidP="00EE2927">
      <w:pPr>
        <w:pStyle w:val="Proposal"/>
        <w:rPr>
          <w:rFonts w:asciiTheme="minorHAnsi" w:hAnsiTheme="minorHAnsi" w:cstheme="minorHAnsi"/>
        </w:rPr>
      </w:pPr>
      <w:bookmarkStart w:id="239" w:name="_Toc16916399"/>
      <w:bookmarkStart w:id="240" w:name="_Toc16918877"/>
      <w:bookmarkStart w:id="241" w:name="_Toc19191379"/>
      <w:bookmarkStart w:id="242" w:name="_Toc20304148"/>
      <w:bookmarkStart w:id="243" w:name="_Toc20304208"/>
      <w:bookmarkStart w:id="244" w:name="_Toc20304475"/>
      <w:bookmarkStart w:id="245" w:name="_Toc20735289"/>
      <w:bookmarkStart w:id="246" w:name="_Toc21089977"/>
      <w:bookmarkStart w:id="247" w:name="_Toc21363912"/>
      <w:bookmarkStart w:id="248" w:name="_Toc24038270"/>
      <w:bookmarkStart w:id="249" w:name="_Toc24123748"/>
      <w:bookmarkStart w:id="250" w:name="_Toc24123839"/>
      <w:r w:rsidRPr="00EE2927">
        <w:lastRenderedPageBreak/>
        <w:t xml:space="preserve">Support </w:t>
      </w:r>
      <w:r w:rsidR="00A52B40" w:rsidRPr="00EE2927">
        <w:t xml:space="preserve">transmission of </w:t>
      </w:r>
      <w:r w:rsidR="009D1785" w:rsidRPr="00EE2927">
        <w:t xml:space="preserve">HARQ feedback in PUSCH without </w:t>
      </w:r>
      <w:r w:rsidR="008A0610" w:rsidRPr="00EE2927">
        <w:t>UL-</w:t>
      </w:r>
      <w:r w:rsidR="009D1785" w:rsidRPr="00EE2927">
        <w:t>SCH</w:t>
      </w:r>
      <w:r w:rsidR="0006157A" w:rsidRPr="00EE2927">
        <w:t xml:space="preserve"> even if aperiodic CSI is not requested for this PUSCH transmission</w:t>
      </w:r>
      <w:bookmarkEnd w:id="239"/>
      <w:bookmarkEnd w:id="240"/>
      <w:bookmarkEnd w:id="241"/>
      <w:bookmarkEnd w:id="242"/>
      <w:bookmarkEnd w:id="243"/>
      <w:bookmarkEnd w:id="244"/>
      <w:bookmarkEnd w:id="245"/>
      <w:bookmarkEnd w:id="246"/>
      <w:bookmarkEnd w:id="247"/>
      <w:bookmarkEnd w:id="248"/>
      <w:bookmarkEnd w:id="249"/>
      <w:bookmarkEnd w:id="250"/>
    </w:p>
    <w:p w14:paraId="66202540" w14:textId="44BF7111" w:rsidR="00BB3F71" w:rsidRPr="00FA7F88" w:rsidRDefault="00BB3F71" w:rsidP="00F81320">
      <w:pPr>
        <w:pStyle w:val="Heading2"/>
      </w:pPr>
      <w:r w:rsidRPr="00F95613">
        <w:t xml:space="preserve">HARQ A/N transmission in case of semi-static codebook operation on wideband carrier </w:t>
      </w:r>
    </w:p>
    <w:p w14:paraId="0BA4A4CA" w14:textId="2592C0F5" w:rsidR="005223E5" w:rsidRDefault="005223E5" w:rsidP="00A77C2D">
      <w:pPr>
        <w:pStyle w:val="BodyText"/>
        <w:keepLines/>
        <w:tabs>
          <w:tab w:val="left" w:pos="2552"/>
          <w:tab w:val="left" w:pos="3856"/>
          <w:tab w:val="left" w:pos="5216"/>
          <w:tab w:val="left" w:pos="6464"/>
          <w:tab w:val="left" w:pos="7768"/>
          <w:tab w:val="left" w:pos="9072"/>
          <w:tab w:val="left" w:pos="9639"/>
        </w:tabs>
        <w:spacing w:before="240" w:after="0"/>
        <w:jc w:val="both"/>
        <w:rPr>
          <w:rFonts w:asciiTheme="minorHAnsi" w:hAnsiTheme="minorHAnsi" w:cstheme="minorHAnsi"/>
        </w:rPr>
      </w:pPr>
      <w:r w:rsidRPr="00EE2927">
        <w:rPr>
          <w:rFonts w:asciiTheme="minorHAnsi" w:hAnsiTheme="minorHAnsi" w:cstheme="minorHAnsi"/>
        </w:rPr>
        <w:t xml:space="preserve">Rel-15 NR does not support time overlapping PDSCHs in a slot on the same carrier using different frequency resources.  Rel-15 semi-static codebook design works on under this assumption. Rel-16 NR support up to maximum two time overlapping PDSCHs which will also be supported for NR-U. The rel-15 semi-static codebook design should be extended to support generation of feedback for this new case. </w:t>
      </w:r>
    </w:p>
    <w:p w14:paraId="5F948394" w14:textId="77777777" w:rsidR="00BA35EA" w:rsidRPr="0043034D" w:rsidRDefault="00BA35EA" w:rsidP="00BA35EA">
      <w:pPr>
        <w:rPr>
          <w:sz w:val="20"/>
          <w:highlight w:val="green"/>
          <w:u w:val="single"/>
        </w:rPr>
      </w:pPr>
    </w:p>
    <w:p w14:paraId="5F889B4E" w14:textId="77777777" w:rsidR="00BA35EA" w:rsidRPr="0043034D" w:rsidRDefault="00BA35EA" w:rsidP="00BA35EA">
      <w:pPr>
        <w:rPr>
          <w:sz w:val="20"/>
          <w:u w:val="single"/>
        </w:rPr>
      </w:pPr>
      <w:r w:rsidRPr="0043034D">
        <w:rPr>
          <w:sz w:val="20"/>
          <w:highlight w:val="green"/>
          <w:u w:val="single"/>
        </w:rPr>
        <w:t>Agreement:</w:t>
      </w:r>
    </w:p>
    <w:p w14:paraId="16BAF7AC" w14:textId="77777777" w:rsidR="00BA35EA" w:rsidRPr="0043034D" w:rsidRDefault="00BA35EA" w:rsidP="00BA35EA">
      <w:pPr>
        <w:rPr>
          <w:sz w:val="20"/>
        </w:rPr>
      </w:pPr>
      <w:r w:rsidRPr="0043034D">
        <w:rPr>
          <w:sz w:val="20"/>
          <w:lang w:val="en-GB"/>
        </w:rPr>
        <w:t xml:space="preserve">For CORESET configuration in a serving cell with carrier bandwidth greater than LBT bandwidth, </w:t>
      </w:r>
    </w:p>
    <w:p w14:paraId="1DBC5063" w14:textId="3876BEE4" w:rsidR="00BA35EA" w:rsidRPr="00EE2927" w:rsidRDefault="00BA35EA" w:rsidP="00BF14D5">
      <w:pPr>
        <w:numPr>
          <w:ilvl w:val="0"/>
          <w:numId w:val="20"/>
        </w:numPr>
        <w:spacing w:after="0" w:line="240" w:lineRule="auto"/>
        <w:rPr>
          <w:sz w:val="20"/>
        </w:rPr>
      </w:pPr>
      <w:r w:rsidRPr="0043034D">
        <w:rPr>
          <w:sz w:val="20"/>
        </w:rPr>
        <w:t xml:space="preserve">For the case where a CORESET is confined within a LBT bandwidth, the search space set configuration </w:t>
      </w:r>
      <w:r w:rsidRPr="0043034D">
        <w:rPr>
          <w:sz w:val="20"/>
          <w:lang w:val="en-GB"/>
        </w:rPr>
        <w:t>associated with the CORESET can have multiple monitoring locations in the frequency domain (per LBT bandwidth)</w:t>
      </w:r>
    </w:p>
    <w:p w14:paraId="553089CA" w14:textId="3C7994F2" w:rsidR="00BF5449" w:rsidRDefault="00BA35EA" w:rsidP="00BB212F">
      <w:pPr>
        <w:pStyle w:val="BodyText"/>
        <w:keepLines/>
        <w:tabs>
          <w:tab w:val="left" w:pos="2552"/>
          <w:tab w:val="left" w:pos="3856"/>
          <w:tab w:val="left" w:pos="5216"/>
          <w:tab w:val="left" w:pos="6464"/>
          <w:tab w:val="left" w:pos="7768"/>
          <w:tab w:val="left" w:pos="9072"/>
          <w:tab w:val="left" w:pos="9639"/>
        </w:tabs>
        <w:spacing w:before="240" w:after="0"/>
        <w:jc w:val="both"/>
        <w:rPr>
          <w:rFonts w:asciiTheme="minorHAnsi" w:hAnsiTheme="minorHAnsi" w:cstheme="minorHAnsi"/>
        </w:rPr>
      </w:pPr>
      <w:r w:rsidRPr="00EE2927">
        <w:rPr>
          <w:rFonts w:asciiTheme="minorHAnsi" w:hAnsiTheme="minorHAnsi" w:cstheme="minorHAnsi"/>
        </w:rPr>
        <w:t xml:space="preserve">According to this agreement, each LBT </w:t>
      </w:r>
      <w:r w:rsidR="00BB212F">
        <w:rPr>
          <w:rFonts w:asciiTheme="minorHAnsi" w:hAnsiTheme="minorHAnsi" w:cstheme="minorHAnsi"/>
        </w:rPr>
        <w:t>bandwidth</w:t>
      </w:r>
      <w:r w:rsidRPr="00EE2927">
        <w:rPr>
          <w:rFonts w:asciiTheme="minorHAnsi" w:hAnsiTheme="minorHAnsi" w:cstheme="minorHAnsi"/>
        </w:rPr>
        <w:t xml:space="preserve"> contains a PDCCH search space monitoring location. </w:t>
      </w:r>
      <w:r w:rsidR="00006C6E">
        <w:rPr>
          <w:rFonts w:asciiTheme="minorHAnsi" w:hAnsiTheme="minorHAnsi" w:cstheme="minorHAnsi"/>
        </w:rPr>
        <w:t xml:space="preserve">A </w:t>
      </w:r>
      <w:r w:rsidRPr="00EE2927">
        <w:rPr>
          <w:rFonts w:asciiTheme="minorHAnsi" w:hAnsiTheme="minorHAnsi" w:cstheme="minorHAnsi"/>
        </w:rPr>
        <w:t xml:space="preserve">new dimension reflecting </w:t>
      </w:r>
      <w:r w:rsidR="00D4104E">
        <w:rPr>
          <w:rFonts w:asciiTheme="minorHAnsi" w:hAnsiTheme="minorHAnsi" w:cstheme="minorHAnsi"/>
        </w:rPr>
        <w:t>LBT bandwidth</w:t>
      </w:r>
      <w:r w:rsidRPr="00EE2927">
        <w:rPr>
          <w:rFonts w:asciiTheme="minorHAnsi" w:hAnsiTheme="minorHAnsi" w:cstheme="minorHAnsi"/>
        </w:rPr>
        <w:t xml:space="preserve"> </w:t>
      </w:r>
      <w:r w:rsidR="00006C6E">
        <w:rPr>
          <w:rFonts w:asciiTheme="minorHAnsi" w:hAnsiTheme="minorHAnsi" w:cstheme="minorHAnsi"/>
        </w:rPr>
        <w:t>can be</w:t>
      </w:r>
      <w:r w:rsidRPr="00EE2927">
        <w:rPr>
          <w:rFonts w:asciiTheme="minorHAnsi" w:hAnsiTheme="minorHAnsi" w:cstheme="minorHAnsi"/>
        </w:rPr>
        <w:t xml:space="preserve"> added to the semi-static codebook. The semi-static codebook can be viewed as a matrix consisting of a time domain dimension and a component-carrier, CBG, MIMO layer, </w:t>
      </w:r>
      <w:r w:rsidR="00F278CB">
        <w:rPr>
          <w:rFonts w:asciiTheme="minorHAnsi" w:hAnsiTheme="minorHAnsi" w:cstheme="minorHAnsi"/>
        </w:rPr>
        <w:t>LBT bandwidth</w:t>
      </w:r>
      <w:r w:rsidRPr="00EE2927">
        <w:rPr>
          <w:rFonts w:asciiTheme="minorHAnsi" w:hAnsiTheme="minorHAnsi" w:cstheme="minorHAnsi"/>
        </w:rPr>
        <w:t>, all of which are semi-statically configured.</w:t>
      </w:r>
    </w:p>
    <w:p w14:paraId="7514A734" w14:textId="4C7314AC" w:rsidR="00AC789E" w:rsidRDefault="00AC789E" w:rsidP="00AC789E">
      <w:pPr>
        <w:pStyle w:val="BodyText"/>
        <w:rPr>
          <w:rFonts w:asciiTheme="minorHAnsi" w:hAnsiTheme="minorHAnsi" w:cstheme="minorHAnsi"/>
        </w:rPr>
      </w:pPr>
    </w:p>
    <w:p w14:paraId="7D5978B8" w14:textId="1438E0D6" w:rsidR="008C182C" w:rsidRPr="00EE2927" w:rsidRDefault="008D1BD4" w:rsidP="00EE2927">
      <w:pPr>
        <w:pStyle w:val="Proposal"/>
        <w:rPr>
          <w:rFonts w:asciiTheme="minorHAnsi" w:hAnsiTheme="minorHAnsi" w:cstheme="minorHAnsi"/>
        </w:rPr>
      </w:pPr>
      <w:bookmarkStart w:id="251" w:name="_Toc20735290"/>
      <w:bookmarkStart w:id="252" w:name="_Toc21089978"/>
      <w:bookmarkStart w:id="253" w:name="_Toc21363913"/>
      <w:bookmarkStart w:id="254" w:name="_Toc24038271"/>
      <w:bookmarkStart w:id="255" w:name="_Toc24123749"/>
      <w:bookmarkStart w:id="256" w:name="_Toc24123840"/>
      <w:r>
        <w:t xml:space="preserve">A </w:t>
      </w:r>
      <w:r w:rsidRPr="008718B8">
        <w:t xml:space="preserve">new dimension reflecting </w:t>
      </w:r>
      <w:r w:rsidR="002738DC">
        <w:t xml:space="preserve">LBT bandwidth </w:t>
      </w:r>
      <w:r>
        <w:t xml:space="preserve">is </w:t>
      </w:r>
      <w:r w:rsidRPr="008718B8">
        <w:t>added to the semi-static codebook</w:t>
      </w:r>
      <w:bookmarkStart w:id="257" w:name="_Toc20735291"/>
      <w:bookmarkEnd w:id="251"/>
      <w:bookmarkEnd w:id="252"/>
      <w:bookmarkEnd w:id="253"/>
      <w:bookmarkEnd w:id="254"/>
      <w:bookmarkEnd w:id="255"/>
      <w:bookmarkEnd w:id="256"/>
      <w:bookmarkEnd w:id="257"/>
    </w:p>
    <w:p w14:paraId="5F85AB5D" w14:textId="75B63681" w:rsidR="00F66021" w:rsidRPr="00EE2927" w:rsidRDefault="00CB5B42" w:rsidP="00EE2927">
      <w:pPr>
        <w:pStyle w:val="BodyText"/>
        <w:spacing w:before="240"/>
        <w:rPr>
          <w:rFonts w:asciiTheme="minorHAnsi" w:hAnsiTheme="minorHAnsi" w:cstheme="minorHAnsi"/>
        </w:rPr>
      </w:pPr>
      <w:r>
        <w:rPr>
          <w:rFonts w:asciiTheme="minorHAnsi" w:hAnsiTheme="minorHAnsi" w:cstheme="minorHAnsi"/>
        </w:rPr>
        <w:t>An example is provided in the figure below</w:t>
      </w:r>
      <w:r w:rsidRPr="00EE2927">
        <w:rPr>
          <w:rFonts w:asciiTheme="minorHAnsi" w:hAnsiTheme="minorHAnsi" w:cstheme="minorHAnsi"/>
        </w:rPr>
        <w:t>, where the acknowledgment timings are one, two, three, and four and five, respectively, and three carriers, one with two CBGs, one with one transport block, and one 2 LBT bandwidths each with 2 CBGs, are configured. Since the codebook size is fixed, the number of bits to transmit in a hybrid-ARQ report is known</w:t>
      </w:r>
      <w:r w:rsidR="00F66021">
        <w:rPr>
          <w:rFonts w:asciiTheme="minorHAnsi" w:hAnsiTheme="minorHAnsi" w:cstheme="minorHAnsi"/>
        </w:rPr>
        <w:t xml:space="preserve">. </w:t>
      </w:r>
    </w:p>
    <w:p w14:paraId="4195677B" w14:textId="77777777" w:rsidR="00CB5B42" w:rsidRPr="00CB5B42" w:rsidRDefault="00CB5B42" w:rsidP="00AC789E">
      <w:pPr>
        <w:pStyle w:val="BodyText"/>
        <w:rPr>
          <w:rFonts w:asciiTheme="minorHAnsi" w:hAnsiTheme="minorHAnsi" w:cstheme="minorHAnsi"/>
        </w:rPr>
      </w:pPr>
    </w:p>
    <w:p w14:paraId="60E49105" w14:textId="610F139F" w:rsidR="00F66021" w:rsidRDefault="005845FD" w:rsidP="00EE2927">
      <w:pPr>
        <w:pStyle w:val="BodyText"/>
        <w:keepNext/>
        <w:jc w:val="center"/>
      </w:pPr>
      <w:r>
        <w:rPr>
          <w:noProof/>
          <w:lang w:val="sv-SE"/>
        </w:rPr>
        <w:drawing>
          <wp:inline distT="0" distB="0" distL="0" distR="0" wp14:anchorId="733A8A08" wp14:editId="27CE4F1E">
            <wp:extent cx="5359797" cy="1749406"/>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84050" cy="1757322"/>
                    </a:xfrm>
                    <a:prstGeom prst="rect">
                      <a:avLst/>
                    </a:prstGeom>
                    <a:noFill/>
                  </pic:spPr>
                </pic:pic>
              </a:graphicData>
            </a:graphic>
          </wp:inline>
        </w:drawing>
      </w:r>
    </w:p>
    <w:p w14:paraId="55C75C70" w14:textId="08AAE399" w:rsidR="00AC789E" w:rsidRDefault="00F66021" w:rsidP="00EE2927">
      <w:pPr>
        <w:pStyle w:val="Caption"/>
        <w:jc w:val="center"/>
      </w:pPr>
      <w:r>
        <w:t xml:space="preserve">Figure </w:t>
      </w:r>
      <w:fldSimple w:instr=" SEQ Figure \* ARABIC ">
        <w:r w:rsidR="00CD1AD5">
          <w:rPr>
            <w:noProof/>
          </w:rPr>
          <w:t>2</w:t>
        </w:r>
      </w:fldSimple>
      <w:r>
        <w:t>: semi-static codebook design for wideband operation</w:t>
      </w:r>
    </w:p>
    <w:p w14:paraId="51539A4B" w14:textId="4E410A9A" w:rsidR="00BF5449" w:rsidRDefault="00D542B0" w:rsidP="00703B4D">
      <w:pPr>
        <w:pStyle w:val="BodyText"/>
        <w:spacing w:before="240"/>
        <w:jc w:val="both"/>
        <w:rPr>
          <w:rFonts w:asciiTheme="minorHAnsi" w:hAnsiTheme="minorHAnsi" w:cstheme="minorHAnsi"/>
        </w:rPr>
      </w:pPr>
      <w:bookmarkStart w:id="258" w:name="_Hlk20731328"/>
      <w:r w:rsidRPr="00EE2927">
        <w:rPr>
          <w:rFonts w:asciiTheme="minorHAnsi" w:hAnsiTheme="minorHAnsi" w:cstheme="minorHAnsi"/>
        </w:rPr>
        <w:t xml:space="preserve">The UE generates the HARQ-ACK bit corresponding to a PDSCH, in the acknowledgment timing corresponding to the PDSCH reception, and in the reserved bit for the corresponding </w:t>
      </w:r>
      <w:r w:rsidR="00B25E6B">
        <w:rPr>
          <w:rFonts w:asciiTheme="minorHAnsi" w:hAnsiTheme="minorHAnsi" w:cstheme="minorHAnsi"/>
        </w:rPr>
        <w:t>to the LBT bandwidth</w:t>
      </w:r>
      <w:r w:rsidRPr="00EE2927">
        <w:rPr>
          <w:rFonts w:asciiTheme="minorHAnsi" w:hAnsiTheme="minorHAnsi" w:cstheme="minorHAnsi"/>
        </w:rPr>
        <w:t xml:space="preserve">. For a </w:t>
      </w:r>
      <w:r w:rsidR="00726FE3">
        <w:rPr>
          <w:rFonts w:asciiTheme="minorHAnsi" w:hAnsiTheme="minorHAnsi" w:cstheme="minorHAnsi"/>
        </w:rPr>
        <w:t>LBT bandwidth</w:t>
      </w:r>
      <w:r w:rsidRPr="00EE2927">
        <w:rPr>
          <w:rFonts w:asciiTheme="minorHAnsi" w:hAnsiTheme="minorHAnsi" w:cstheme="minorHAnsi"/>
        </w:rPr>
        <w:t xml:space="preserve"> without a corresponding PDSCH, a NACK is generated.</w:t>
      </w:r>
      <w:r w:rsidR="00703B4D">
        <w:rPr>
          <w:rFonts w:asciiTheme="minorHAnsi" w:hAnsiTheme="minorHAnsi" w:cstheme="minorHAnsi"/>
        </w:rPr>
        <w:t xml:space="preserve"> </w:t>
      </w:r>
      <w:bookmarkEnd w:id="258"/>
      <w:r w:rsidR="00BF5449" w:rsidRPr="00EE2927">
        <w:rPr>
          <w:rFonts w:asciiTheme="minorHAnsi" w:hAnsiTheme="minorHAnsi" w:cstheme="minorHAnsi"/>
        </w:rPr>
        <w:t xml:space="preserve">The following discussion use 80 MHz carrier with four LBT </w:t>
      </w:r>
      <w:r w:rsidR="00726FE3">
        <w:rPr>
          <w:rFonts w:asciiTheme="minorHAnsi" w:hAnsiTheme="minorHAnsi" w:cstheme="minorHAnsi"/>
        </w:rPr>
        <w:t>bandwidth</w:t>
      </w:r>
      <w:r w:rsidR="00BF5449" w:rsidRPr="00EE2927">
        <w:rPr>
          <w:rFonts w:asciiTheme="minorHAnsi" w:hAnsiTheme="minorHAnsi" w:cstheme="minorHAnsi"/>
        </w:rPr>
        <w:t xml:space="preserve"> as an example. </w:t>
      </w:r>
    </w:p>
    <w:p w14:paraId="536B3F9A" w14:textId="58DA81AC" w:rsidR="00825BA8" w:rsidRDefault="00825BA8" w:rsidP="00BF14D5">
      <w:pPr>
        <w:pStyle w:val="BodyText"/>
        <w:numPr>
          <w:ilvl w:val="0"/>
          <w:numId w:val="13"/>
        </w:numPr>
        <w:jc w:val="both"/>
        <w:rPr>
          <w:rFonts w:asciiTheme="minorHAnsi" w:hAnsiTheme="minorHAnsi" w:cstheme="minorHAnsi"/>
        </w:rPr>
      </w:pPr>
      <w:r>
        <w:rPr>
          <w:rFonts w:asciiTheme="minorHAnsi" w:hAnsiTheme="minorHAnsi" w:cstheme="minorHAnsi"/>
        </w:rPr>
        <w:t xml:space="preserve">Yellow represents PDSCH scheduled using PDCCH in </w:t>
      </w:r>
      <w:r w:rsidR="00726FE3">
        <w:rPr>
          <w:rFonts w:asciiTheme="minorHAnsi" w:hAnsiTheme="minorHAnsi" w:cstheme="minorHAnsi"/>
        </w:rPr>
        <w:t>LBT bandwi</w:t>
      </w:r>
      <w:r w:rsidR="00EA0EC9">
        <w:rPr>
          <w:rFonts w:asciiTheme="minorHAnsi" w:hAnsiTheme="minorHAnsi" w:cstheme="minorHAnsi"/>
        </w:rPr>
        <w:t>d</w:t>
      </w:r>
      <w:r w:rsidR="00726FE3">
        <w:rPr>
          <w:rFonts w:asciiTheme="minorHAnsi" w:hAnsiTheme="minorHAnsi" w:cstheme="minorHAnsi"/>
        </w:rPr>
        <w:t>th (</w:t>
      </w:r>
      <w:r>
        <w:rPr>
          <w:rFonts w:asciiTheme="minorHAnsi" w:hAnsiTheme="minorHAnsi" w:cstheme="minorHAnsi"/>
        </w:rPr>
        <w:t>SB0</w:t>
      </w:r>
      <w:r w:rsidR="00726FE3">
        <w:rPr>
          <w:rFonts w:asciiTheme="minorHAnsi" w:hAnsiTheme="minorHAnsi" w:cstheme="minorHAnsi"/>
        </w:rPr>
        <w:t>)</w:t>
      </w:r>
      <w:r>
        <w:rPr>
          <w:rFonts w:asciiTheme="minorHAnsi" w:hAnsiTheme="minorHAnsi" w:cstheme="minorHAnsi"/>
        </w:rPr>
        <w:t xml:space="preserve"> </w:t>
      </w:r>
    </w:p>
    <w:p w14:paraId="5CFA6FC6" w14:textId="4A158E78" w:rsidR="00825BA8" w:rsidRDefault="00825BA8" w:rsidP="00BF14D5">
      <w:pPr>
        <w:pStyle w:val="BodyText"/>
        <w:numPr>
          <w:ilvl w:val="0"/>
          <w:numId w:val="13"/>
        </w:numPr>
        <w:jc w:val="both"/>
        <w:rPr>
          <w:rFonts w:asciiTheme="minorHAnsi" w:hAnsiTheme="minorHAnsi" w:cstheme="minorHAnsi"/>
        </w:rPr>
      </w:pPr>
      <w:r>
        <w:rPr>
          <w:rFonts w:asciiTheme="minorHAnsi" w:hAnsiTheme="minorHAnsi" w:cstheme="minorHAnsi"/>
        </w:rPr>
        <w:lastRenderedPageBreak/>
        <w:t>Blue represents PDSCH scheduled using PDCCH in SB1</w:t>
      </w:r>
    </w:p>
    <w:p w14:paraId="38075C13" w14:textId="30408F90" w:rsidR="00825BA8" w:rsidRDefault="00825BA8" w:rsidP="00BF14D5">
      <w:pPr>
        <w:pStyle w:val="BodyText"/>
        <w:numPr>
          <w:ilvl w:val="0"/>
          <w:numId w:val="13"/>
        </w:numPr>
        <w:jc w:val="both"/>
        <w:rPr>
          <w:rFonts w:asciiTheme="minorHAnsi" w:hAnsiTheme="minorHAnsi" w:cstheme="minorHAnsi"/>
        </w:rPr>
      </w:pPr>
      <w:r>
        <w:rPr>
          <w:rFonts w:asciiTheme="minorHAnsi" w:hAnsiTheme="minorHAnsi" w:cstheme="minorHAnsi"/>
        </w:rPr>
        <w:t>Green represents PDSCH scheduled using PDCCH in SB</w:t>
      </w:r>
      <w:r w:rsidR="005B54EC">
        <w:rPr>
          <w:rFonts w:asciiTheme="minorHAnsi" w:hAnsiTheme="minorHAnsi" w:cstheme="minorHAnsi"/>
        </w:rPr>
        <w:t>2</w:t>
      </w:r>
    </w:p>
    <w:p w14:paraId="3E90495B" w14:textId="37D04415" w:rsidR="00825BA8" w:rsidRPr="00EE2927" w:rsidRDefault="00CD1AD5" w:rsidP="00BF14D5">
      <w:pPr>
        <w:pStyle w:val="BodyText"/>
        <w:numPr>
          <w:ilvl w:val="0"/>
          <w:numId w:val="13"/>
        </w:numPr>
        <w:jc w:val="both"/>
        <w:rPr>
          <w:rFonts w:cstheme="minorHAnsi"/>
        </w:rPr>
      </w:pPr>
      <w:r>
        <w:rPr>
          <w:rFonts w:asciiTheme="minorHAnsi" w:hAnsiTheme="minorHAnsi" w:cstheme="minorHAnsi"/>
        </w:rPr>
        <w:t>Red represents PDSCH scheduled using PDCCH in SB</w:t>
      </w:r>
      <w:r w:rsidR="005B54EC">
        <w:rPr>
          <w:rFonts w:asciiTheme="minorHAnsi" w:hAnsiTheme="minorHAnsi" w:cstheme="minorHAnsi"/>
        </w:rPr>
        <w:t>3</w:t>
      </w:r>
    </w:p>
    <w:p w14:paraId="19C542EB" w14:textId="1C8B21EC" w:rsidR="00CD1AD5" w:rsidRDefault="00A168B3" w:rsidP="00BF14D5">
      <w:pPr>
        <w:pStyle w:val="BodyText"/>
        <w:keepNext/>
        <w:numPr>
          <w:ilvl w:val="0"/>
          <w:numId w:val="13"/>
        </w:numPr>
        <w:jc w:val="center"/>
      </w:pPr>
      <w:r w:rsidRPr="00A168B3">
        <w:rPr>
          <w:noProof/>
        </w:rPr>
        <w:drawing>
          <wp:inline distT="0" distB="0" distL="0" distR="0" wp14:anchorId="4DFB472E" wp14:editId="16863B71">
            <wp:extent cx="3674429" cy="2286311"/>
            <wp:effectExtent l="0" t="0" r="254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77509" cy="2288227"/>
                    </a:xfrm>
                    <a:prstGeom prst="rect">
                      <a:avLst/>
                    </a:prstGeom>
                    <a:noFill/>
                    <a:ln>
                      <a:noFill/>
                    </a:ln>
                  </pic:spPr>
                </pic:pic>
              </a:graphicData>
            </a:graphic>
          </wp:inline>
        </w:drawing>
      </w:r>
    </w:p>
    <w:p w14:paraId="3148BB61" w14:textId="2B5244BF" w:rsidR="004D064F" w:rsidRDefault="00CD1AD5" w:rsidP="00EE2927">
      <w:pPr>
        <w:pStyle w:val="Caption"/>
        <w:ind w:firstLine="567"/>
        <w:jc w:val="center"/>
      </w:pPr>
      <w:r>
        <w:t xml:space="preserve">Figure </w:t>
      </w:r>
      <w:fldSimple w:instr=" SEQ Figure \* ARABIC ">
        <w:r>
          <w:rPr>
            <w:noProof/>
          </w:rPr>
          <w:t>3</w:t>
        </w:r>
      </w:fldSimple>
      <w:r>
        <w:t>: different scheduling alternatives in case of Wideband operation</w:t>
      </w:r>
    </w:p>
    <w:p w14:paraId="223D78DC" w14:textId="77777777" w:rsidR="00CD1AD5" w:rsidRPr="00EE2927" w:rsidRDefault="00CD1AD5" w:rsidP="00EE2927">
      <w:pPr>
        <w:rPr>
          <w:lang w:eastAsia="en-GB"/>
        </w:rPr>
      </w:pPr>
    </w:p>
    <w:p w14:paraId="31CC72D1" w14:textId="5016AAEE" w:rsidR="00754ED7" w:rsidRPr="00EE2927" w:rsidRDefault="004D064F" w:rsidP="00EE2927">
      <w:pPr>
        <w:pStyle w:val="BodyText"/>
        <w:jc w:val="both"/>
        <w:rPr>
          <w:rFonts w:asciiTheme="minorHAnsi" w:hAnsiTheme="minorHAnsi" w:cstheme="minorHAnsi"/>
        </w:rPr>
      </w:pPr>
      <w:r w:rsidRPr="00EE2927">
        <w:rPr>
          <w:rFonts w:asciiTheme="minorHAnsi" w:hAnsiTheme="minorHAnsi" w:cstheme="minorHAnsi"/>
        </w:rPr>
        <w:t xml:space="preserve">For case </w:t>
      </w:r>
      <w:r w:rsidR="00830C95" w:rsidRPr="00EE2927">
        <w:rPr>
          <w:rFonts w:asciiTheme="minorHAnsi" w:hAnsiTheme="minorHAnsi" w:cstheme="minorHAnsi"/>
        </w:rPr>
        <w:t>1</w:t>
      </w:r>
      <w:r w:rsidRPr="00EE2927">
        <w:rPr>
          <w:rFonts w:asciiTheme="minorHAnsi" w:hAnsiTheme="minorHAnsi" w:cstheme="minorHAnsi"/>
        </w:rPr>
        <w:t>, UE receives 1 PDCCH. The HARQ-ACK feedback should be X0</w:t>
      </w:r>
      <w:r w:rsidR="00830C95" w:rsidRPr="00EE2927">
        <w:rPr>
          <w:rFonts w:asciiTheme="minorHAnsi" w:hAnsiTheme="minorHAnsi" w:cstheme="minorHAnsi"/>
        </w:rPr>
        <w:t>0</w:t>
      </w:r>
      <w:r w:rsidRPr="00EE2927">
        <w:rPr>
          <w:rFonts w:asciiTheme="minorHAnsi" w:hAnsiTheme="minorHAnsi" w:cstheme="minorHAnsi"/>
        </w:rPr>
        <w:t xml:space="preserve">0, where X is the decoding result of TB over </w:t>
      </w:r>
      <w:r w:rsidR="00910A49" w:rsidRPr="00EE2927">
        <w:rPr>
          <w:rFonts w:asciiTheme="minorHAnsi" w:hAnsiTheme="minorHAnsi" w:cstheme="minorHAnsi"/>
        </w:rPr>
        <w:t>SB0</w:t>
      </w:r>
      <w:r w:rsidRPr="00EE2927">
        <w:rPr>
          <w:rFonts w:asciiTheme="minorHAnsi" w:hAnsiTheme="minorHAnsi" w:cstheme="minorHAnsi"/>
        </w:rPr>
        <w:t>,</w:t>
      </w:r>
      <w:r w:rsidR="00754ED7" w:rsidRPr="00EE2927">
        <w:rPr>
          <w:rFonts w:asciiTheme="minorHAnsi" w:hAnsiTheme="minorHAnsi" w:cstheme="minorHAnsi"/>
        </w:rPr>
        <w:t xml:space="preserve"> </w:t>
      </w:r>
      <w:r w:rsidRPr="00EE2927">
        <w:rPr>
          <w:rFonts w:asciiTheme="minorHAnsi" w:hAnsiTheme="minorHAnsi" w:cstheme="minorHAnsi"/>
        </w:rPr>
        <w:t>and 0 is NACK.</w:t>
      </w:r>
    </w:p>
    <w:p w14:paraId="5F946246" w14:textId="1500DD84" w:rsidR="00754ED7" w:rsidRPr="00EE2927" w:rsidRDefault="00754ED7" w:rsidP="00EE2927">
      <w:pPr>
        <w:pStyle w:val="BodyText"/>
        <w:jc w:val="both"/>
        <w:rPr>
          <w:rFonts w:asciiTheme="minorHAnsi" w:hAnsiTheme="minorHAnsi" w:cstheme="minorHAnsi"/>
        </w:rPr>
      </w:pPr>
      <w:r w:rsidRPr="00EE2927">
        <w:rPr>
          <w:rFonts w:asciiTheme="minorHAnsi" w:hAnsiTheme="minorHAnsi" w:cstheme="minorHAnsi"/>
        </w:rPr>
        <w:t>For case 2, UE receives 1 PDCCHs</w:t>
      </w:r>
      <w:r w:rsidR="005B54EC" w:rsidRPr="00EE2927">
        <w:rPr>
          <w:rFonts w:asciiTheme="minorHAnsi" w:hAnsiTheme="minorHAnsi" w:cstheme="minorHAnsi"/>
        </w:rPr>
        <w:t xml:space="preserve"> from SB1 scheduling PDSCH on SB3</w:t>
      </w:r>
      <w:r w:rsidRPr="00EE2927">
        <w:rPr>
          <w:rFonts w:asciiTheme="minorHAnsi" w:hAnsiTheme="minorHAnsi" w:cstheme="minorHAnsi"/>
        </w:rPr>
        <w:t>. Even though,</w:t>
      </w:r>
      <w:r w:rsidR="005B54EC" w:rsidRPr="00EE2927">
        <w:rPr>
          <w:rFonts w:asciiTheme="minorHAnsi" w:hAnsiTheme="minorHAnsi" w:cstheme="minorHAnsi"/>
        </w:rPr>
        <w:t xml:space="preserve"> this </w:t>
      </w:r>
      <w:r w:rsidR="00453318" w:rsidRPr="00EE2927">
        <w:rPr>
          <w:rFonts w:asciiTheme="minorHAnsi" w:hAnsiTheme="minorHAnsi" w:cstheme="minorHAnsi"/>
        </w:rPr>
        <w:t>behaviour</w:t>
      </w:r>
      <w:r w:rsidR="005B54EC" w:rsidRPr="00EE2927">
        <w:rPr>
          <w:rFonts w:asciiTheme="minorHAnsi" w:hAnsiTheme="minorHAnsi" w:cstheme="minorHAnsi"/>
        </w:rPr>
        <w:t xml:space="preserve"> might not be common, it is still supported</w:t>
      </w:r>
      <w:r w:rsidR="00453318" w:rsidRPr="00EE2927">
        <w:rPr>
          <w:rFonts w:asciiTheme="minorHAnsi" w:hAnsiTheme="minorHAnsi" w:cstheme="minorHAnsi"/>
        </w:rPr>
        <w:t xml:space="preserve"> according to the signalling. </w:t>
      </w:r>
      <w:r w:rsidRPr="00EE2927">
        <w:rPr>
          <w:rFonts w:asciiTheme="minorHAnsi" w:hAnsiTheme="minorHAnsi" w:cstheme="minorHAnsi"/>
        </w:rPr>
        <w:t>The HARQ-ACK feedback should be 0</w:t>
      </w:r>
      <w:r w:rsidR="00453318" w:rsidRPr="00EE2927">
        <w:rPr>
          <w:rFonts w:asciiTheme="minorHAnsi" w:hAnsiTheme="minorHAnsi" w:cstheme="minorHAnsi"/>
        </w:rPr>
        <w:t>0</w:t>
      </w:r>
      <w:r w:rsidR="00910A49" w:rsidRPr="00EE2927">
        <w:rPr>
          <w:rFonts w:asciiTheme="minorHAnsi" w:hAnsiTheme="minorHAnsi" w:cstheme="minorHAnsi"/>
        </w:rPr>
        <w:t>0X</w:t>
      </w:r>
      <w:r w:rsidRPr="00EE2927">
        <w:rPr>
          <w:rFonts w:asciiTheme="minorHAnsi" w:hAnsiTheme="minorHAnsi" w:cstheme="minorHAnsi"/>
        </w:rPr>
        <w:t xml:space="preserve">, where X is the decoding result of TB </w:t>
      </w:r>
      <w:r w:rsidR="00C970F7" w:rsidRPr="00EE2927">
        <w:rPr>
          <w:rFonts w:asciiTheme="minorHAnsi" w:hAnsiTheme="minorHAnsi" w:cstheme="minorHAnsi"/>
        </w:rPr>
        <w:t>scheduled by PDCCH in SB1</w:t>
      </w:r>
      <w:r w:rsidR="00AF627E" w:rsidRPr="00EE2927">
        <w:rPr>
          <w:rFonts w:asciiTheme="minorHAnsi" w:hAnsiTheme="minorHAnsi" w:cstheme="minorHAnsi"/>
        </w:rPr>
        <w:t>.</w:t>
      </w:r>
      <w:r w:rsidRPr="00EE2927">
        <w:rPr>
          <w:rFonts w:asciiTheme="minorHAnsi" w:hAnsiTheme="minorHAnsi" w:cstheme="minorHAnsi"/>
        </w:rPr>
        <w:t xml:space="preserve"> </w:t>
      </w:r>
    </w:p>
    <w:p w14:paraId="4B86DFBD" w14:textId="401D9B70" w:rsidR="004D064F" w:rsidRPr="00EE2927" w:rsidRDefault="00AF627E" w:rsidP="00EE2927">
      <w:pPr>
        <w:pStyle w:val="BodyText"/>
        <w:jc w:val="both"/>
        <w:rPr>
          <w:rFonts w:asciiTheme="minorHAnsi" w:hAnsiTheme="minorHAnsi" w:cstheme="minorHAnsi"/>
        </w:rPr>
      </w:pPr>
      <w:r w:rsidRPr="00EE2927">
        <w:rPr>
          <w:rFonts w:asciiTheme="minorHAnsi" w:hAnsiTheme="minorHAnsi" w:cstheme="minorHAnsi"/>
        </w:rPr>
        <w:t>For case 3, UE receives 2 PDCCHs. The HARQ-ACK feedback should be 0XY</w:t>
      </w:r>
      <w:r w:rsidR="00244594" w:rsidRPr="00EE2927">
        <w:rPr>
          <w:rFonts w:asciiTheme="minorHAnsi" w:hAnsiTheme="minorHAnsi" w:cstheme="minorHAnsi"/>
        </w:rPr>
        <w:t>Y</w:t>
      </w:r>
      <w:r w:rsidRPr="00EE2927">
        <w:rPr>
          <w:rFonts w:asciiTheme="minorHAnsi" w:hAnsiTheme="minorHAnsi" w:cstheme="minorHAnsi"/>
        </w:rPr>
        <w:t xml:space="preserve">, where X is the decoding result of TB </w:t>
      </w:r>
      <w:r w:rsidR="00C970F7" w:rsidRPr="00EE2927">
        <w:rPr>
          <w:rFonts w:asciiTheme="minorHAnsi" w:hAnsiTheme="minorHAnsi" w:cstheme="minorHAnsi"/>
        </w:rPr>
        <w:t>scheduled by SB</w:t>
      </w:r>
      <w:r w:rsidR="00531FB4" w:rsidRPr="00EE2927">
        <w:rPr>
          <w:rFonts w:asciiTheme="minorHAnsi" w:hAnsiTheme="minorHAnsi" w:cstheme="minorHAnsi"/>
        </w:rPr>
        <w:t>1</w:t>
      </w:r>
      <w:r w:rsidRPr="00EE2927">
        <w:rPr>
          <w:rFonts w:asciiTheme="minorHAnsi" w:hAnsiTheme="minorHAnsi" w:cstheme="minorHAnsi"/>
        </w:rPr>
        <w:t xml:space="preserve"> and Y is the decoding results of TB</w:t>
      </w:r>
      <w:r w:rsidR="00531FB4" w:rsidRPr="00EE2927">
        <w:rPr>
          <w:rFonts w:asciiTheme="minorHAnsi" w:hAnsiTheme="minorHAnsi" w:cstheme="minorHAnsi"/>
        </w:rPr>
        <w:t xml:space="preserve"> scheduled by SB2</w:t>
      </w:r>
      <w:r w:rsidR="00244594" w:rsidRPr="00EE2927">
        <w:rPr>
          <w:rFonts w:asciiTheme="minorHAnsi" w:hAnsiTheme="minorHAnsi" w:cstheme="minorHAnsi"/>
        </w:rPr>
        <w:t xml:space="preserve"> over SB2 and 3</w:t>
      </w:r>
      <w:r w:rsidR="00531FB4" w:rsidRPr="00EE2927">
        <w:rPr>
          <w:rFonts w:asciiTheme="minorHAnsi" w:hAnsiTheme="minorHAnsi" w:cstheme="minorHAnsi"/>
        </w:rPr>
        <w:t>.</w:t>
      </w:r>
    </w:p>
    <w:p w14:paraId="2B83A98A" w14:textId="6627A65B" w:rsidR="00B3132F" w:rsidRDefault="004D064F" w:rsidP="00C83A46">
      <w:pPr>
        <w:pStyle w:val="BodyText"/>
        <w:rPr>
          <w:rFonts w:asciiTheme="minorHAnsi" w:hAnsiTheme="minorHAnsi" w:cstheme="minorHAnsi"/>
        </w:rPr>
      </w:pPr>
      <w:r w:rsidRPr="00EE2927">
        <w:rPr>
          <w:rFonts w:asciiTheme="minorHAnsi" w:hAnsiTheme="minorHAnsi" w:cstheme="minorHAnsi"/>
        </w:rPr>
        <w:t xml:space="preserve">For case </w:t>
      </w:r>
      <w:r w:rsidR="00173DF5" w:rsidRPr="00EE2927">
        <w:rPr>
          <w:rFonts w:asciiTheme="minorHAnsi" w:hAnsiTheme="minorHAnsi" w:cstheme="minorHAnsi"/>
        </w:rPr>
        <w:t>4</w:t>
      </w:r>
      <w:r w:rsidRPr="00EE2927">
        <w:rPr>
          <w:rFonts w:asciiTheme="minorHAnsi" w:hAnsiTheme="minorHAnsi" w:cstheme="minorHAnsi"/>
        </w:rPr>
        <w:t>, UE receives</w:t>
      </w:r>
      <w:r w:rsidR="00517D4E" w:rsidRPr="00EE2927">
        <w:rPr>
          <w:rFonts w:asciiTheme="minorHAnsi" w:hAnsiTheme="minorHAnsi" w:cstheme="minorHAnsi"/>
        </w:rPr>
        <w:t xml:space="preserve"> two overlapping PDSCH on the same </w:t>
      </w:r>
      <w:r w:rsidR="0005250B" w:rsidRPr="00EE2927">
        <w:rPr>
          <w:rFonts w:asciiTheme="minorHAnsi" w:hAnsiTheme="minorHAnsi" w:cstheme="minorHAnsi"/>
        </w:rPr>
        <w:t>s</w:t>
      </w:r>
      <w:r w:rsidR="00517D4E" w:rsidRPr="00EE2927">
        <w:rPr>
          <w:rFonts w:asciiTheme="minorHAnsi" w:hAnsiTheme="minorHAnsi" w:cstheme="minorHAnsi"/>
        </w:rPr>
        <w:t xml:space="preserve">ubband. Similar to case 2, this is not </w:t>
      </w:r>
      <w:r w:rsidR="006B7F8C" w:rsidRPr="00EE2927">
        <w:rPr>
          <w:rFonts w:asciiTheme="minorHAnsi" w:hAnsiTheme="minorHAnsi" w:cstheme="minorHAnsi"/>
        </w:rPr>
        <w:t xml:space="preserve">the intention of the whole multiple search space monitoring locations </w:t>
      </w:r>
      <w:r w:rsidR="00D253F8" w:rsidRPr="00EE2927">
        <w:rPr>
          <w:rFonts w:asciiTheme="minorHAnsi" w:hAnsiTheme="minorHAnsi" w:cstheme="minorHAnsi"/>
        </w:rPr>
        <w:t xml:space="preserve">design or the intention of supporting multiple time overlapping PDSCH for NR-U. </w:t>
      </w:r>
      <w:r w:rsidR="006B7F8C" w:rsidRPr="00EE2927">
        <w:rPr>
          <w:rFonts w:asciiTheme="minorHAnsi" w:hAnsiTheme="minorHAnsi" w:cstheme="minorHAnsi"/>
        </w:rPr>
        <w:t xml:space="preserve"> </w:t>
      </w:r>
      <w:r w:rsidR="0005250B" w:rsidRPr="00EE2927">
        <w:rPr>
          <w:rFonts w:asciiTheme="minorHAnsi" w:hAnsiTheme="minorHAnsi" w:cstheme="minorHAnsi"/>
        </w:rPr>
        <w:t xml:space="preserve">One </w:t>
      </w:r>
      <w:r w:rsidR="0005250B">
        <w:rPr>
          <w:rFonts w:asciiTheme="minorHAnsi" w:hAnsiTheme="minorHAnsi" w:cstheme="minorHAnsi"/>
        </w:rPr>
        <w:t xml:space="preserve">option to resolve this case is </w:t>
      </w:r>
      <w:r w:rsidR="00C83A46">
        <w:rPr>
          <w:rFonts w:asciiTheme="minorHAnsi" w:hAnsiTheme="minorHAnsi" w:cstheme="minorHAnsi"/>
        </w:rPr>
        <w:t xml:space="preserve">that </w:t>
      </w:r>
      <w:r w:rsidR="00F9556D">
        <w:rPr>
          <w:rFonts w:asciiTheme="minorHAnsi" w:hAnsiTheme="minorHAnsi" w:cstheme="minorHAnsi"/>
        </w:rPr>
        <w:t>if</w:t>
      </w:r>
      <w:r w:rsidR="00C83A46" w:rsidRPr="00EE2927">
        <w:rPr>
          <w:rFonts w:asciiTheme="minorHAnsi" w:hAnsiTheme="minorHAnsi" w:cstheme="minorHAnsi"/>
        </w:rPr>
        <w:t xml:space="preserve"> more than one (partial or full) PDSCH is allowed in one subband, the UE should report NACK if at least one PDSCH that is fully or partially sent on this SB is NACK. </w:t>
      </w:r>
      <w:r w:rsidR="00C83A46">
        <w:rPr>
          <w:rFonts w:asciiTheme="minorHAnsi" w:hAnsiTheme="minorHAnsi" w:cstheme="minorHAnsi"/>
        </w:rPr>
        <w:t xml:space="preserve">However, this will </w:t>
      </w:r>
      <w:r w:rsidR="00BE340C">
        <w:rPr>
          <w:rFonts w:asciiTheme="minorHAnsi" w:hAnsiTheme="minorHAnsi" w:cstheme="minorHAnsi"/>
        </w:rPr>
        <w:t>lead to error cases if the UE</w:t>
      </w:r>
      <w:r w:rsidR="00660743">
        <w:rPr>
          <w:rFonts w:asciiTheme="minorHAnsi" w:hAnsiTheme="minorHAnsi" w:cstheme="minorHAnsi"/>
        </w:rPr>
        <w:t xml:space="preserve"> completely</w:t>
      </w:r>
      <w:r w:rsidR="00BE340C">
        <w:rPr>
          <w:rFonts w:asciiTheme="minorHAnsi" w:hAnsiTheme="minorHAnsi" w:cstheme="minorHAnsi"/>
        </w:rPr>
        <w:t xml:space="preserve"> misses the detection of PDCCH</w:t>
      </w:r>
      <w:r w:rsidR="00660743">
        <w:rPr>
          <w:rFonts w:asciiTheme="minorHAnsi" w:hAnsiTheme="minorHAnsi" w:cstheme="minorHAnsi"/>
        </w:rPr>
        <w:t xml:space="preserve">+PDSCH of one PDSCH and correctly receives another time overlapping PDSCH on the same subband. </w:t>
      </w:r>
    </w:p>
    <w:p w14:paraId="13663528" w14:textId="4B9B4622" w:rsidR="00FB74D8" w:rsidRDefault="00E811CA" w:rsidP="00C83A46">
      <w:pPr>
        <w:pStyle w:val="BodyText"/>
        <w:rPr>
          <w:rFonts w:asciiTheme="minorHAnsi" w:hAnsiTheme="minorHAnsi" w:cstheme="minorHAnsi"/>
        </w:rPr>
      </w:pPr>
      <w:r>
        <w:rPr>
          <w:rFonts w:asciiTheme="minorHAnsi" w:hAnsiTheme="minorHAnsi" w:cstheme="minorHAnsi"/>
        </w:rPr>
        <w:t>Another option is to consider</w:t>
      </w:r>
      <w:r w:rsidR="00951048">
        <w:rPr>
          <w:rFonts w:asciiTheme="minorHAnsi" w:hAnsiTheme="minorHAnsi" w:cstheme="minorHAnsi"/>
        </w:rPr>
        <w:t xml:space="preserve"> generating HARQ-ACK </w:t>
      </w:r>
      <w:r w:rsidR="00783AA5">
        <w:rPr>
          <w:rFonts w:asciiTheme="minorHAnsi" w:hAnsiTheme="minorHAnsi" w:cstheme="minorHAnsi"/>
        </w:rPr>
        <w:t xml:space="preserve">bit </w:t>
      </w:r>
      <w:r w:rsidR="00F75A8A" w:rsidRPr="00EE2927">
        <w:rPr>
          <w:rFonts w:asciiTheme="minorHAnsi" w:hAnsiTheme="minorHAnsi" w:cstheme="minorHAnsi"/>
        </w:rPr>
        <w:t xml:space="preserve">in a reserved bit that corresponding to the location of the scheduling </w:t>
      </w:r>
      <w:r w:rsidR="00951048" w:rsidRPr="00EE2927">
        <w:rPr>
          <w:rFonts w:asciiTheme="minorHAnsi" w:hAnsiTheme="minorHAnsi" w:cstheme="minorHAnsi"/>
        </w:rPr>
        <w:t>PDCC</w:t>
      </w:r>
      <w:r w:rsidR="00F75A8A" w:rsidRPr="00EE2927">
        <w:rPr>
          <w:rFonts w:asciiTheme="minorHAnsi" w:hAnsiTheme="minorHAnsi" w:cstheme="minorHAnsi"/>
        </w:rPr>
        <w:t>H</w:t>
      </w:r>
      <w:r w:rsidR="00951048" w:rsidRPr="00EE2927">
        <w:rPr>
          <w:rFonts w:asciiTheme="minorHAnsi" w:hAnsiTheme="minorHAnsi" w:cstheme="minorHAnsi"/>
        </w:rPr>
        <w:t xml:space="preserve"> and not where the PDSCH is</w:t>
      </w:r>
      <w:r w:rsidR="0002725F" w:rsidRPr="00EE2927">
        <w:rPr>
          <w:rFonts w:asciiTheme="minorHAnsi" w:hAnsiTheme="minorHAnsi" w:cstheme="minorHAnsi"/>
        </w:rPr>
        <w:t xml:space="preserve"> received. </w:t>
      </w:r>
      <w:r w:rsidR="00467DEF">
        <w:rPr>
          <w:rFonts w:asciiTheme="minorHAnsi" w:hAnsiTheme="minorHAnsi" w:cstheme="minorHAnsi"/>
        </w:rPr>
        <w:t>This</w:t>
      </w:r>
      <w:r w:rsidR="000507CC">
        <w:rPr>
          <w:rFonts w:asciiTheme="minorHAnsi" w:hAnsiTheme="minorHAnsi" w:cstheme="minorHAnsi"/>
        </w:rPr>
        <w:t xml:space="preserve"> approach simplifies the design and make it more future proof in case </w:t>
      </w:r>
      <w:r w:rsidR="00467DEF">
        <w:rPr>
          <w:rFonts w:asciiTheme="minorHAnsi" w:hAnsiTheme="minorHAnsi" w:cstheme="minorHAnsi"/>
        </w:rPr>
        <w:t xml:space="preserve">further time-overlapping PDSCH (&gt;2) is allowed in the future. </w:t>
      </w:r>
      <w:r w:rsidR="00655E84">
        <w:rPr>
          <w:rFonts w:asciiTheme="minorHAnsi" w:hAnsiTheme="minorHAnsi" w:cstheme="minorHAnsi"/>
        </w:rPr>
        <w:t xml:space="preserve">If so, </w:t>
      </w:r>
    </w:p>
    <w:p w14:paraId="11DFA053" w14:textId="51B24F42" w:rsidR="00E811CA" w:rsidRDefault="00655E84" w:rsidP="00BF14D5">
      <w:pPr>
        <w:pStyle w:val="BodyText"/>
        <w:numPr>
          <w:ilvl w:val="0"/>
          <w:numId w:val="13"/>
        </w:numPr>
        <w:rPr>
          <w:rFonts w:asciiTheme="minorHAnsi" w:hAnsiTheme="minorHAnsi" w:cstheme="minorHAnsi"/>
        </w:rPr>
      </w:pPr>
      <w:r>
        <w:rPr>
          <w:rFonts w:asciiTheme="minorHAnsi" w:hAnsiTheme="minorHAnsi" w:cstheme="minorHAnsi"/>
        </w:rPr>
        <w:t xml:space="preserve">for case </w:t>
      </w:r>
      <w:r w:rsidR="00FB74D8">
        <w:rPr>
          <w:rFonts w:asciiTheme="minorHAnsi" w:hAnsiTheme="minorHAnsi" w:cstheme="minorHAnsi"/>
        </w:rPr>
        <w:t>1,</w:t>
      </w:r>
      <w:r>
        <w:rPr>
          <w:rFonts w:asciiTheme="minorHAnsi" w:hAnsiTheme="minorHAnsi" w:cstheme="minorHAnsi"/>
        </w:rPr>
        <w:t xml:space="preserve"> the UE reports </w:t>
      </w:r>
      <w:r w:rsidR="00FB74D8">
        <w:rPr>
          <w:rFonts w:asciiTheme="minorHAnsi" w:hAnsiTheme="minorHAnsi" w:cstheme="minorHAnsi"/>
        </w:rPr>
        <w:t>X000</w:t>
      </w:r>
    </w:p>
    <w:p w14:paraId="0315A407" w14:textId="26EA78FF" w:rsidR="00FB74D8" w:rsidRDefault="00FB74D8" w:rsidP="00BF14D5">
      <w:pPr>
        <w:pStyle w:val="BodyText"/>
        <w:numPr>
          <w:ilvl w:val="0"/>
          <w:numId w:val="13"/>
        </w:numPr>
        <w:rPr>
          <w:rFonts w:asciiTheme="minorHAnsi" w:hAnsiTheme="minorHAnsi" w:cstheme="minorHAnsi"/>
        </w:rPr>
      </w:pPr>
      <w:r>
        <w:rPr>
          <w:rFonts w:asciiTheme="minorHAnsi" w:hAnsiTheme="minorHAnsi" w:cstheme="minorHAnsi"/>
        </w:rPr>
        <w:t>for case 2, the UE reports 0X00</w:t>
      </w:r>
    </w:p>
    <w:p w14:paraId="0C3099F1" w14:textId="4675B7A5" w:rsidR="00FB74D8" w:rsidRDefault="00FB74D8" w:rsidP="00BF14D5">
      <w:pPr>
        <w:pStyle w:val="BodyText"/>
        <w:numPr>
          <w:ilvl w:val="0"/>
          <w:numId w:val="13"/>
        </w:numPr>
        <w:rPr>
          <w:rFonts w:asciiTheme="minorHAnsi" w:hAnsiTheme="minorHAnsi" w:cstheme="minorHAnsi"/>
        </w:rPr>
      </w:pPr>
      <w:r>
        <w:rPr>
          <w:rFonts w:asciiTheme="minorHAnsi" w:hAnsiTheme="minorHAnsi" w:cstheme="minorHAnsi"/>
        </w:rPr>
        <w:t xml:space="preserve">for case 3, the UE reports </w:t>
      </w:r>
      <w:r w:rsidR="00154D74">
        <w:rPr>
          <w:rFonts w:asciiTheme="minorHAnsi" w:hAnsiTheme="minorHAnsi" w:cstheme="minorHAnsi"/>
        </w:rPr>
        <w:t>0XY0</w:t>
      </w:r>
    </w:p>
    <w:p w14:paraId="2D1306C4" w14:textId="3C2A48A7" w:rsidR="00154D74" w:rsidRDefault="00154D74" w:rsidP="00BF14D5">
      <w:pPr>
        <w:pStyle w:val="BodyText"/>
        <w:numPr>
          <w:ilvl w:val="0"/>
          <w:numId w:val="13"/>
        </w:numPr>
        <w:rPr>
          <w:rFonts w:asciiTheme="minorHAnsi" w:hAnsiTheme="minorHAnsi" w:cstheme="minorHAnsi"/>
        </w:rPr>
      </w:pPr>
      <w:r>
        <w:rPr>
          <w:rFonts w:asciiTheme="minorHAnsi" w:hAnsiTheme="minorHAnsi" w:cstheme="minorHAnsi"/>
        </w:rPr>
        <w:t>for case 4, the UE reports 00XY</w:t>
      </w:r>
    </w:p>
    <w:p w14:paraId="3577183E" w14:textId="40976B1F" w:rsidR="00C83A46" w:rsidRPr="00EE2927" w:rsidRDefault="00660743" w:rsidP="00C83A46">
      <w:pPr>
        <w:pStyle w:val="BodyText"/>
        <w:rPr>
          <w:rFonts w:asciiTheme="minorHAnsi" w:hAnsiTheme="minorHAnsi" w:cstheme="minorHAnsi"/>
        </w:rPr>
      </w:pPr>
      <w:r>
        <w:rPr>
          <w:rFonts w:asciiTheme="minorHAnsi" w:hAnsiTheme="minorHAnsi" w:cstheme="minorHAnsi"/>
        </w:rPr>
        <w:t xml:space="preserve"> </w:t>
      </w:r>
      <w:r w:rsidR="00EF1963">
        <w:rPr>
          <w:rFonts w:asciiTheme="minorHAnsi" w:hAnsiTheme="minorHAnsi" w:cstheme="minorHAnsi"/>
        </w:rPr>
        <w:t xml:space="preserve"> </w:t>
      </w:r>
    </w:p>
    <w:p w14:paraId="1214F8F8" w14:textId="2A8DEA22" w:rsidR="00136066" w:rsidRPr="00EE2927" w:rsidRDefault="009B352E" w:rsidP="00EE2927">
      <w:pPr>
        <w:pStyle w:val="Proposal"/>
      </w:pPr>
      <w:bookmarkStart w:id="259" w:name="_Toc20735292"/>
      <w:bookmarkStart w:id="260" w:name="_Toc21089979"/>
      <w:bookmarkStart w:id="261" w:name="_Toc21363914"/>
      <w:bookmarkStart w:id="262" w:name="_Toc24038272"/>
      <w:bookmarkStart w:id="263" w:name="_Toc24123750"/>
      <w:bookmarkStart w:id="264" w:name="_Toc24123841"/>
      <w:r>
        <w:t>F</w:t>
      </w:r>
      <w:r w:rsidR="00044916">
        <w:t xml:space="preserve">or wideband semi-static codebook with time overlapping PDSCHs, </w:t>
      </w:r>
      <w:r w:rsidR="004E61B4">
        <w:t xml:space="preserve">consider the following </w:t>
      </w:r>
      <w:r w:rsidR="00044916">
        <w:t>alternatives</w:t>
      </w:r>
      <w:r w:rsidR="004E61B4">
        <w:t xml:space="preserve"> for </w:t>
      </w:r>
      <w:r w:rsidR="00044916" w:rsidRPr="00EE2927">
        <w:t>generation of HAR-ACK bits</w:t>
      </w:r>
      <w:bookmarkEnd w:id="259"/>
      <w:bookmarkEnd w:id="260"/>
      <w:bookmarkEnd w:id="261"/>
      <w:bookmarkEnd w:id="262"/>
      <w:bookmarkEnd w:id="263"/>
      <w:bookmarkEnd w:id="264"/>
      <w:r w:rsidR="00044916" w:rsidRPr="00EE2927">
        <w:t xml:space="preserve"> </w:t>
      </w:r>
      <w:bookmarkStart w:id="265" w:name="_Toc20735293"/>
      <w:bookmarkStart w:id="266" w:name="_Toc20735294"/>
      <w:bookmarkEnd w:id="265"/>
      <w:bookmarkEnd w:id="266"/>
    </w:p>
    <w:p w14:paraId="29B17594" w14:textId="7DD40869" w:rsidR="00044916" w:rsidRPr="00834309" w:rsidRDefault="00136066" w:rsidP="00EE2927">
      <w:pPr>
        <w:pStyle w:val="Proposal"/>
        <w:numPr>
          <w:ilvl w:val="1"/>
          <w:numId w:val="2"/>
        </w:numPr>
      </w:pPr>
      <w:bookmarkStart w:id="267" w:name="_Toc20735295"/>
      <w:bookmarkStart w:id="268" w:name="_Toc21089980"/>
      <w:bookmarkStart w:id="269" w:name="_Toc21363915"/>
      <w:bookmarkStart w:id="270" w:name="_Toc24038273"/>
      <w:bookmarkStart w:id="271" w:name="_Toc24123751"/>
      <w:bookmarkStart w:id="272" w:name="_Toc24123842"/>
      <w:r w:rsidRPr="00EE2927">
        <w:lastRenderedPageBreak/>
        <w:t xml:space="preserve">The UE generates the HARQ-ACK bit corresponding to a PDSCH, in the acknowledgment timing corresponding to the PDSCH reception, and in the reserved bit for the corresponding </w:t>
      </w:r>
      <w:r w:rsidR="009B352E" w:rsidRPr="009B352E">
        <w:t>LBT bandwidth</w:t>
      </w:r>
      <w:r w:rsidR="000B56A8">
        <w:t xml:space="preserve"> where the PDSCH</w:t>
      </w:r>
      <w:r w:rsidR="00AB1511">
        <w:t xml:space="preserve"> is partially of fully transmitted</w:t>
      </w:r>
      <w:r w:rsidR="00AB402E">
        <w:t>.</w:t>
      </w:r>
      <w:bookmarkEnd w:id="267"/>
      <w:bookmarkEnd w:id="268"/>
      <w:bookmarkEnd w:id="269"/>
      <w:bookmarkEnd w:id="270"/>
      <w:bookmarkEnd w:id="271"/>
      <w:bookmarkEnd w:id="272"/>
    </w:p>
    <w:p w14:paraId="642A3400" w14:textId="596A25A9" w:rsidR="009B352E" w:rsidRPr="00834309" w:rsidRDefault="009B352E" w:rsidP="00EE2927">
      <w:pPr>
        <w:pStyle w:val="Proposal"/>
        <w:numPr>
          <w:ilvl w:val="1"/>
          <w:numId w:val="2"/>
        </w:numPr>
      </w:pPr>
      <w:bookmarkStart w:id="273" w:name="_Toc20735296"/>
      <w:bookmarkStart w:id="274" w:name="_Toc21089981"/>
      <w:bookmarkStart w:id="275" w:name="_Toc21363916"/>
      <w:bookmarkStart w:id="276" w:name="_Toc24038274"/>
      <w:bookmarkStart w:id="277" w:name="_Toc24123752"/>
      <w:bookmarkStart w:id="278" w:name="_Toc24123843"/>
      <w:r w:rsidRPr="009B352E">
        <w:t>The UE generates the HARQ-ACK bit corresponding to a PDSCH, in the acknowledgment timing corresponding to the PDSCH reception, and in the reserved bit for the corresponding</w:t>
      </w:r>
      <w:r w:rsidR="00AB1511">
        <w:t xml:space="preserve"> LBT bandwidth where the scheduling PDCCH is transmitted.</w:t>
      </w:r>
      <w:bookmarkEnd w:id="273"/>
      <w:bookmarkEnd w:id="274"/>
      <w:bookmarkEnd w:id="275"/>
      <w:bookmarkEnd w:id="276"/>
      <w:bookmarkEnd w:id="277"/>
      <w:bookmarkEnd w:id="278"/>
      <w:r w:rsidR="00AB1511">
        <w:t xml:space="preserve"> </w:t>
      </w:r>
    </w:p>
    <w:p w14:paraId="6660F34E" w14:textId="77777777" w:rsidR="005045A9" w:rsidRPr="005045A9" w:rsidRDefault="005045A9" w:rsidP="005D7F44">
      <w:pPr>
        <w:pStyle w:val="Heading1"/>
      </w:pPr>
      <w:r w:rsidRPr="005045A9">
        <w:t>Scheduling enhancements</w:t>
      </w:r>
    </w:p>
    <w:p w14:paraId="76779E05" w14:textId="6198C4C7" w:rsidR="008A0610" w:rsidRPr="008A0610" w:rsidRDefault="005045A9" w:rsidP="005D7F44">
      <w:pPr>
        <w:pStyle w:val="Heading2"/>
      </w:pPr>
      <w:r w:rsidRPr="005045A9">
        <w:t xml:space="preserve">UL/DL </w:t>
      </w:r>
      <w:r w:rsidRPr="005D7F44">
        <w:t>Scheduling</w:t>
      </w:r>
      <w:r w:rsidRPr="005045A9">
        <w:t xml:space="preserve"> combination</w:t>
      </w:r>
    </w:p>
    <w:p w14:paraId="75BE977D" w14:textId="4905F471" w:rsidR="005045A9" w:rsidRPr="008A0EB7" w:rsidRDefault="005045A9" w:rsidP="008A0610">
      <w:pPr>
        <w:rPr>
          <w:rFonts w:cstheme="minorHAnsi"/>
        </w:rPr>
      </w:pPr>
      <w:r w:rsidRPr="008A0EB7">
        <w:rPr>
          <w:rFonts w:cstheme="minorHAnsi"/>
        </w:rPr>
        <w:t xml:space="preserve">Rel-15 allows very flexible cross-carrier scheduling. However, a cell can still be scheduled by one other cell. NR, similar to LAA-LTE, should support the combination of self-scheduling in the DL and cross carrier scheduling in the UL in scenario A. This way, UL is subject to only one LBT at the UE side before the actual uplink transmission, unlike the self-scheduling on unlicensed carrier where two LBTs are needed, one at the gNB to send the grant and another at the UE before the actual PUSCH transmission. </w:t>
      </w:r>
    </w:p>
    <w:p w14:paraId="7B480578" w14:textId="047F7344" w:rsidR="005045A9" w:rsidRPr="008A0EB7" w:rsidRDefault="005045A9" w:rsidP="008A0610">
      <w:pPr>
        <w:rPr>
          <w:rFonts w:cstheme="minorHAnsi"/>
        </w:rPr>
      </w:pPr>
      <w:r w:rsidRPr="008A0EB7">
        <w:rPr>
          <w:rFonts w:cstheme="minorHAnsi"/>
        </w:rPr>
        <w:t xml:space="preserve">For standalone scenario, there are benefits in terms of latency if scheduling from any activated unlicensed carrier is allowed. This way, the gNB can send UL grants on the first channel that passes LBT, but that is not feasible due to the limited blind decoding budget at the UE. Nevertheless, there is still strong use case to support self-scheduling for DL and cross carrier scheduling for UL. This is mainly beneficial if the UE is configured with more DL cells than UL, which is expected due to the different power and capabilities between UE and gNB. Taking that into consideration, NR-U should support configuring a cell to have both self- and cross carrier scheduling for UL. </w:t>
      </w:r>
    </w:p>
    <w:p w14:paraId="1506B93E" w14:textId="77777777" w:rsidR="005045A9" w:rsidRPr="00EE2927" w:rsidRDefault="005045A9" w:rsidP="00EE2927">
      <w:pPr>
        <w:pStyle w:val="Proposal"/>
        <w:ind w:left="2247"/>
      </w:pPr>
      <w:bookmarkStart w:id="279" w:name="_Toc7701981"/>
      <w:bookmarkStart w:id="280" w:name="_Toc16916400"/>
      <w:bookmarkStart w:id="281" w:name="_Toc16918878"/>
      <w:bookmarkStart w:id="282" w:name="_Toc19191380"/>
      <w:bookmarkStart w:id="283" w:name="_Toc20304149"/>
      <w:bookmarkStart w:id="284" w:name="_Toc20304209"/>
      <w:bookmarkStart w:id="285" w:name="_Toc20304476"/>
      <w:bookmarkStart w:id="286" w:name="_Toc20735297"/>
      <w:bookmarkStart w:id="287" w:name="_Toc21089982"/>
      <w:bookmarkStart w:id="288" w:name="_Toc21363917"/>
      <w:bookmarkStart w:id="289" w:name="_Toc24038275"/>
      <w:bookmarkStart w:id="290" w:name="_Toc24123753"/>
      <w:bookmarkStart w:id="291" w:name="_Toc24123844"/>
      <w:r w:rsidRPr="00EE2927">
        <w:t>Support UL/DL Scheduling combination:</w:t>
      </w:r>
      <w:bookmarkEnd w:id="279"/>
      <w:bookmarkEnd w:id="280"/>
      <w:bookmarkEnd w:id="281"/>
      <w:bookmarkEnd w:id="282"/>
      <w:bookmarkEnd w:id="283"/>
      <w:bookmarkEnd w:id="284"/>
      <w:bookmarkEnd w:id="285"/>
      <w:bookmarkEnd w:id="286"/>
      <w:bookmarkEnd w:id="287"/>
      <w:bookmarkEnd w:id="288"/>
      <w:bookmarkEnd w:id="289"/>
      <w:bookmarkEnd w:id="290"/>
      <w:bookmarkEnd w:id="291"/>
      <w:r w:rsidRPr="00EE2927">
        <w:t xml:space="preserve"> </w:t>
      </w:r>
    </w:p>
    <w:p w14:paraId="3DFD41B0" w14:textId="33214B24" w:rsidR="005045A9" w:rsidRPr="00EE2927" w:rsidRDefault="005045A9" w:rsidP="00EE2927">
      <w:pPr>
        <w:pStyle w:val="Proposal"/>
        <w:numPr>
          <w:ilvl w:val="1"/>
          <w:numId w:val="2"/>
        </w:numPr>
      </w:pPr>
      <w:bookmarkStart w:id="292" w:name="_Toc7701982"/>
      <w:bookmarkStart w:id="293" w:name="_Toc16916401"/>
      <w:bookmarkStart w:id="294" w:name="_Toc16918879"/>
      <w:bookmarkStart w:id="295" w:name="_Toc19191381"/>
      <w:bookmarkStart w:id="296" w:name="_Toc20304150"/>
      <w:bookmarkStart w:id="297" w:name="_Toc20304210"/>
      <w:bookmarkStart w:id="298" w:name="_Toc20304477"/>
      <w:bookmarkStart w:id="299" w:name="_Toc20735298"/>
      <w:bookmarkStart w:id="300" w:name="_Toc21089983"/>
      <w:bookmarkStart w:id="301" w:name="_Toc21363918"/>
      <w:bookmarkStart w:id="302" w:name="_Toc24038276"/>
      <w:bookmarkStart w:id="303" w:name="_Toc24123754"/>
      <w:bookmarkStart w:id="304" w:name="_Toc24123845"/>
      <w:r w:rsidRPr="00EE2927">
        <w:t>Self-scheduling for DL</w:t>
      </w:r>
      <w:bookmarkEnd w:id="292"/>
      <w:bookmarkEnd w:id="293"/>
      <w:bookmarkEnd w:id="294"/>
      <w:bookmarkEnd w:id="295"/>
      <w:bookmarkEnd w:id="296"/>
      <w:bookmarkEnd w:id="297"/>
      <w:bookmarkEnd w:id="298"/>
      <w:bookmarkEnd w:id="299"/>
      <w:bookmarkEnd w:id="300"/>
      <w:bookmarkEnd w:id="301"/>
      <w:bookmarkEnd w:id="302"/>
      <w:bookmarkEnd w:id="303"/>
      <w:bookmarkEnd w:id="304"/>
    </w:p>
    <w:p w14:paraId="37CDBF53" w14:textId="410674F3" w:rsidR="005045A9" w:rsidRPr="00EE2927" w:rsidRDefault="005045A9" w:rsidP="00EE2927">
      <w:pPr>
        <w:pStyle w:val="Proposal"/>
        <w:numPr>
          <w:ilvl w:val="1"/>
          <w:numId w:val="2"/>
        </w:numPr>
      </w:pPr>
      <w:bookmarkStart w:id="305" w:name="_Toc7701983"/>
      <w:bookmarkStart w:id="306" w:name="_Toc16916402"/>
      <w:bookmarkStart w:id="307" w:name="_Toc16918880"/>
      <w:bookmarkStart w:id="308" w:name="_Toc19191382"/>
      <w:bookmarkStart w:id="309" w:name="_Toc20304151"/>
      <w:bookmarkStart w:id="310" w:name="_Toc20304211"/>
      <w:bookmarkStart w:id="311" w:name="_Toc20304478"/>
      <w:bookmarkStart w:id="312" w:name="_Toc20735299"/>
      <w:bookmarkStart w:id="313" w:name="_Toc21089984"/>
      <w:bookmarkStart w:id="314" w:name="_Toc21363919"/>
      <w:bookmarkStart w:id="315" w:name="_Toc24038277"/>
      <w:bookmarkStart w:id="316" w:name="_Toc24123755"/>
      <w:bookmarkStart w:id="317" w:name="_Toc24123846"/>
      <w:r w:rsidRPr="00EE2927">
        <w:t>Self- and/or cross-carrier scheduling for UL</w:t>
      </w:r>
      <w:bookmarkEnd w:id="305"/>
      <w:bookmarkEnd w:id="306"/>
      <w:bookmarkEnd w:id="307"/>
      <w:bookmarkEnd w:id="308"/>
      <w:bookmarkEnd w:id="309"/>
      <w:bookmarkEnd w:id="310"/>
      <w:bookmarkEnd w:id="311"/>
      <w:bookmarkEnd w:id="312"/>
      <w:bookmarkEnd w:id="313"/>
      <w:bookmarkEnd w:id="314"/>
      <w:bookmarkEnd w:id="315"/>
      <w:bookmarkEnd w:id="316"/>
      <w:bookmarkEnd w:id="317"/>
    </w:p>
    <w:p w14:paraId="27EED8C7" w14:textId="216D6433" w:rsidR="00B138A4" w:rsidRDefault="00685C72" w:rsidP="00EE2927">
      <w:pPr>
        <w:pStyle w:val="Heading2"/>
        <w:spacing w:after="240"/>
      </w:pPr>
      <w:r w:rsidRPr="009E73C1">
        <w:t xml:space="preserve">UL </w:t>
      </w:r>
      <w:r w:rsidRPr="005D7F44">
        <w:t>scheduling</w:t>
      </w:r>
      <w:r w:rsidRPr="009E73C1">
        <w:t xml:space="preserve"> DCI design</w:t>
      </w:r>
    </w:p>
    <w:p w14:paraId="20073F71" w14:textId="3E86BFB5" w:rsidR="00AD0251" w:rsidRPr="00AD0251" w:rsidRDefault="00AD0251" w:rsidP="00213F0B">
      <w:pPr>
        <w:rPr>
          <w:bCs/>
          <w:highlight w:val="green"/>
          <w:lang w:eastAsia="x-none"/>
        </w:rPr>
      </w:pPr>
      <w:r w:rsidRPr="008A0EB7">
        <w:rPr>
          <w:rFonts w:cstheme="minorHAnsi"/>
        </w:rPr>
        <w:t>During RAN1#9</w:t>
      </w:r>
      <w:r>
        <w:rPr>
          <w:rFonts w:cstheme="minorHAnsi"/>
        </w:rPr>
        <w:t>8</w:t>
      </w:r>
      <w:r w:rsidRPr="008A0EB7">
        <w:rPr>
          <w:rFonts w:cstheme="minorHAnsi"/>
        </w:rPr>
        <w:t>bis [2],</w:t>
      </w:r>
      <w:r>
        <w:rPr>
          <w:rFonts w:cstheme="minorHAnsi"/>
        </w:rPr>
        <w:t xml:space="preserve"> the following agreement was made: </w:t>
      </w:r>
    </w:p>
    <w:p w14:paraId="0803375D" w14:textId="1300C80C" w:rsidR="00213F0B" w:rsidRDefault="00213F0B" w:rsidP="00213F0B">
      <w:pPr>
        <w:rPr>
          <w:bCs/>
          <w:lang w:eastAsia="x-none"/>
        </w:rPr>
      </w:pPr>
      <w:r w:rsidRPr="006F6D3F">
        <w:rPr>
          <w:bCs/>
          <w:highlight w:val="green"/>
          <w:lang w:eastAsia="x-none"/>
        </w:rPr>
        <w:t>Agreement:</w:t>
      </w:r>
    </w:p>
    <w:p w14:paraId="7E6F8D66" w14:textId="77777777" w:rsidR="00213F0B" w:rsidRDefault="00213F0B" w:rsidP="00213F0B">
      <w:pPr>
        <w:rPr>
          <w:bCs/>
          <w:lang w:eastAsia="x-none"/>
        </w:rPr>
      </w:pPr>
      <w:r w:rsidRPr="003F30E3">
        <w:rPr>
          <w:bCs/>
          <w:lang w:eastAsia="x-none"/>
        </w:rPr>
        <w:t>For signaling the number of scheduled PUSCHs and TDRA in one DCI scheduling multiple PUSCH</w:t>
      </w:r>
      <w:r>
        <w:rPr>
          <w:bCs/>
          <w:lang w:eastAsia="x-none"/>
        </w:rPr>
        <w:t>s, t</w:t>
      </w:r>
      <w:r w:rsidRPr="003F30E3">
        <w:rPr>
          <w:rFonts w:hint="eastAsia"/>
          <w:bCs/>
          <w:lang w:eastAsia="x-none"/>
        </w:rPr>
        <w:t>he TDRA table is extended such that each row indicate</w:t>
      </w:r>
      <w:r w:rsidRPr="003F30E3">
        <w:rPr>
          <w:bCs/>
          <w:lang w:eastAsia="x-none"/>
        </w:rPr>
        <w:t xml:space="preserve">s </w:t>
      </w:r>
      <w:r w:rsidRPr="003F30E3">
        <w:rPr>
          <w:rFonts w:hint="eastAsia"/>
          <w:bCs/>
          <w:lang w:eastAsia="x-none"/>
        </w:rPr>
        <w:t xml:space="preserve">multiple </w:t>
      </w:r>
      <w:r w:rsidRPr="003F30E3">
        <w:rPr>
          <w:bCs/>
          <w:lang w:eastAsia="x-none"/>
        </w:rPr>
        <w:t>PUSCHs (continuous in time-domain)</w:t>
      </w:r>
    </w:p>
    <w:p w14:paraId="18907F1D" w14:textId="77777777" w:rsidR="00213F0B" w:rsidRDefault="00213F0B" w:rsidP="00BF14D5">
      <w:pPr>
        <w:numPr>
          <w:ilvl w:val="0"/>
          <w:numId w:val="17"/>
        </w:numPr>
        <w:spacing w:after="0" w:line="240" w:lineRule="auto"/>
        <w:rPr>
          <w:bCs/>
          <w:lang w:eastAsia="x-none"/>
        </w:rPr>
      </w:pPr>
      <w:r>
        <w:rPr>
          <w:bCs/>
          <w:lang w:eastAsia="x-none"/>
        </w:rPr>
        <w:t>Alt. 1: E</w:t>
      </w:r>
      <w:r w:rsidRPr="003F30E3">
        <w:rPr>
          <w:bCs/>
          <w:lang w:eastAsia="x-none"/>
        </w:rPr>
        <w:t xml:space="preserve">ach </w:t>
      </w:r>
      <w:r>
        <w:rPr>
          <w:bCs/>
          <w:lang w:eastAsia="x-none"/>
        </w:rPr>
        <w:t xml:space="preserve">PUSCH has </w:t>
      </w:r>
      <w:r w:rsidRPr="003F30E3">
        <w:rPr>
          <w:bCs/>
          <w:lang w:eastAsia="x-none"/>
        </w:rPr>
        <w:t xml:space="preserve">a </w:t>
      </w:r>
      <w:r>
        <w:rPr>
          <w:bCs/>
          <w:lang w:eastAsia="x-none"/>
        </w:rPr>
        <w:t xml:space="preserve">separate </w:t>
      </w:r>
      <w:r w:rsidRPr="003F30E3">
        <w:rPr>
          <w:bCs/>
          <w:lang w:eastAsia="x-none"/>
        </w:rPr>
        <w:t>SLIV and mapping type</w:t>
      </w:r>
      <w:r>
        <w:rPr>
          <w:bCs/>
          <w:lang w:eastAsia="x-none"/>
        </w:rPr>
        <w:t xml:space="preserve">. </w:t>
      </w:r>
      <w:r w:rsidRPr="003F30E3">
        <w:rPr>
          <w:bCs/>
          <w:lang w:eastAsia="x-none"/>
        </w:rPr>
        <w:t xml:space="preserve">The number of scheduled PUSCHs is signalled by the </w:t>
      </w:r>
      <w:r>
        <w:rPr>
          <w:bCs/>
          <w:lang w:eastAsia="x-none"/>
        </w:rPr>
        <w:t xml:space="preserve">number of indicated valid SLIVs in the </w:t>
      </w:r>
      <w:r w:rsidRPr="003F30E3">
        <w:rPr>
          <w:bCs/>
          <w:lang w:eastAsia="x-none"/>
        </w:rPr>
        <w:t>row of the TDRA table signalled in DCI</w:t>
      </w:r>
      <w:r>
        <w:rPr>
          <w:bCs/>
          <w:lang w:eastAsia="x-none"/>
        </w:rPr>
        <w:t>.</w:t>
      </w:r>
    </w:p>
    <w:p w14:paraId="7A693527" w14:textId="77777777" w:rsidR="00213F0B" w:rsidRDefault="00213F0B" w:rsidP="00BF14D5">
      <w:pPr>
        <w:numPr>
          <w:ilvl w:val="1"/>
          <w:numId w:val="17"/>
        </w:numPr>
        <w:spacing w:after="0" w:line="240" w:lineRule="auto"/>
        <w:rPr>
          <w:bCs/>
          <w:lang w:eastAsia="x-none"/>
        </w:rPr>
      </w:pPr>
      <w:r>
        <w:rPr>
          <w:bCs/>
          <w:lang w:eastAsia="x-none"/>
        </w:rPr>
        <w:t>FFS: Separate k2</w:t>
      </w:r>
    </w:p>
    <w:p w14:paraId="31290D28" w14:textId="77777777" w:rsidR="00213F0B" w:rsidRDefault="00213F0B" w:rsidP="00BF14D5">
      <w:pPr>
        <w:numPr>
          <w:ilvl w:val="0"/>
          <w:numId w:val="17"/>
        </w:numPr>
        <w:spacing w:after="0" w:line="240" w:lineRule="auto"/>
        <w:rPr>
          <w:bCs/>
          <w:lang w:eastAsia="x-none"/>
        </w:rPr>
      </w:pPr>
      <w:r>
        <w:rPr>
          <w:bCs/>
          <w:lang w:eastAsia="x-none"/>
        </w:rPr>
        <w:t xml:space="preserve">Alt. 2: </w:t>
      </w:r>
    </w:p>
    <w:p w14:paraId="0EEA9844" w14:textId="77777777" w:rsidR="00213F0B" w:rsidRDefault="00213F0B" w:rsidP="00BF14D5">
      <w:pPr>
        <w:numPr>
          <w:ilvl w:val="1"/>
          <w:numId w:val="17"/>
        </w:numPr>
        <w:spacing w:after="0" w:line="240" w:lineRule="auto"/>
        <w:rPr>
          <w:bCs/>
          <w:lang w:eastAsia="x-none"/>
        </w:rPr>
      </w:pPr>
      <w:r>
        <w:rPr>
          <w:bCs/>
          <w:lang w:eastAsia="x-none"/>
        </w:rPr>
        <w:t xml:space="preserve">A separate SLIV for </w:t>
      </w:r>
    </w:p>
    <w:p w14:paraId="58E02F49" w14:textId="77777777" w:rsidR="00213F0B" w:rsidRDefault="00213F0B" w:rsidP="00BF14D5">
      <w:pPr>
        <w:numPr>
          <w:ilvl w:val="2"/>
          <w:numId w:val="17"/>
        </w:numPr>
        <w:spacing w:after="0" w:line="240" w:lineRule="auto"/>
        <w:rPr>
          <w:bCs/>
          <w:lang w:eastAsia="x-none"/>
        </w:rPr>
      </w:pPr>
      <w:r>
        <w:rPr>
          <w:bCs/>
          <w:lang w:eastAsia="x-none"/>
        </w:rPr>
        <w:t xml:space="preserve">the starting slot, </w:t>
      </w:r>
    </w:p>
    <w:p w14:paraId="2B82E168" w14:textId="77777777" w:rsidR="00213F0B" w:rsidRDefault="00213F0B" w:rsidP="00BF14D5">
      <w:pPr>
        <w:numPr>
          <w:ilvl w:val="2"/>
          <w:numId w:val="17"/>
        </w:numPr>
        <w:spacing w:after="0" w:line="240" w:lineRule="auto"/>
        <w:rPr>
          <w:bCs/>
          <w:lang w:eastAsia="x-none"/>
        </w:rPr>
      </w:pPr>
      <w:r>
        <w:rPr>
          <w:bCs/>
          <w:lang w:eastAsia="x-none"/>
        </w:rPr>
        <w:t>the ending slot</w:t>
      </w:r>
    </w:p>
    <w:p w14:paraId="570E1D1C" w14:textId="77777777" w:rsidR="00213F0B" w:rsidRDefault="00213F0B" w:rsidP="00BF14D5">
      <w:pPr>
        <w:numPr>
          <w:ilvl w:val="1"/>
          <w:numId w:val="17"/>
        </w:numPr>
        <w:spacing w:after="0" w:line="240" w:lineRule="auto"/>
        <w:rPr>
          <w:bCs/>
          <w:lang w:eastAsia="x-none"/>
        </w:rPr>
      </w:pPr>
      <w:r>
        <w:rPr>
          <w:bCs/>
          <w:lang w:eastAsia="x-none"/>
        </w:rPr>
        <w:t>The slots in between have a SLIV of S=0, L=14</w:t>
      </w:r>
    </w:p>
    <w:p w14:paraId="537F9C34" w14:textId="77777777" w:rsidR="00213F0B" w:rsidRDefault="00213F0B" w:rsidP="00BF14D5">
      <w:pPr>
        <w:numPr>
          <w:ilvl w:val="1"/>
          <w:numId w:val="17"/>
        </w:numPr>
        <w:spacing w:after="0" w:line="240" w:lineRule="auto"/>
        <w:rPr>
          <w:bCs/>
          <w:lang w:eastAsia="x-none"/>
        </w:rPr>
      </w:pPr>
      <w:r>
        <w:rPr>
          <w:bCs/>
          <w:lang w:eastAsia="x-none"/>
        </w:rPr>
        <w:t xml:space="preserve">A separate mapping type for </w:t>
      </w:r>
    </w:p>
    <w:p w14:paraId="61985958" w14:textId="77777777" w:rsidR="00213F0B" w:rsidRDefault="00213F0B" w:rsidP="00BF14D5">
      <w:pPr>
        <w:numPr>
          <w:ilvl w:val="2"/>
          <w:numId w:val="17"/>
        </w:numPr>
        <w:spacing w:after="0" w:line="240" w:lineRule="auto"/>
        <w:rPr>
          <w:bCs/>
          <w:lang w:eastAsia="x-none"/>
        </w:rPr>
      </w:pPr>
      <w:r>
        <w:rPr>
          <w:bCs/>
          <w:lang w:eastAsia="x-none"/>
        </w:rPr>
        <w:t xml:space="preserve">the starting slot, </w:t>
      </w:r>
    </w:p>
    <w:p w14:paraId="2CA878BC" w14:textId="77777777" w:rsidR="00213F0B" w:rsidRDefault="00213F0B" w:rsidP="00BF14D5">
      <w:pPr>
        <w:numPr>
          <w:ilvl w:val="2"/>
          <w:numId w:val="17"/>
        </w:numPr>
        <w:spacing w:after="0" w:line="240" w:lineRule="auto"/>
        <w:rPr>
          <w:bCs/>
          <w:lang w:eastAsia="x-none"/>
        </w:rPr>
      </w:pPr>
      <w:r>
        <w:rPr>
          <w:bCs/>
          <w:lang w:eastAsia="x-none"/>
        </w:rPr>
        <w:t>the ending slot,</w:t>
      </w:r>
    </w:p>
    <w:p w14:paraId="562C9020" w14:textId="77777777" w:rsidR="00213F0B" w:rsidRPr="006517CA" w:rsidRDefault="00213F0B" w:rsidP="00BF14D5">
      <w:pPr>
        <w:numPr>
          <w:ilvl w:val="2"/>
          <w:numId w:val="17"/>
        </w:numPr>
        <w:spacing w:after="0" w:line="240" w:lineRule="auto"/>
        <w:rPr>
          <w:bCs/>
          <w:lang w:eastAsia="x-none"/>
        </w:rPr>
      </w:pPr>
      <w:r>
        <w:rPr>
          <w:bCs/>
          <w:lang w:eastAsia="x-none"/>
        </w:rPr>
        <w:lastRenderedPageBreak/>
        <w:t>the slots in between (a single mapping type for all of them)</w:t>
      </w:r>
    </w:p>
    <w:p w14:paraId="06A1EE93" w14:textId="77777777" w:rsidR="00213F0B" w:rsidRDefault="00213F0B" w:rsidP="00BF14D5">
      <w:pPr>
        <w:numPr>
          <w:ilvl w:val="1"/>
          <w:numId w:val="17"/>
        </w:numPr>
        <w:spacing w:after="0" w:line="240" w:lineRule="auto"/>
        <w:rPr>
          <w:bCs/>
          <w:lang w:eastAsia="x-none"/>
        </w:rPr>
      </w:pPr>
      <w:r>
        <w:rPr>
          <w:bCs/>
          <w:lang w:eastAsia="x-none"/>
        </w:rPr>
        <w:t>The total number of PUSCHs for the row.</w:t>
      </w:r>
    </w:p>
    <w:p w14:paraId="0D4A33CE" w14:textId="77777777" w:rsidR="00213F0B" w:rsidRPr="006F6D3F" w:rsidRDefault="00213F0B" w:rsidP="00BF14D5">
      <w:pPr>
        <w:numPr>
          <w:ilvl w:val="0"/>
          <w:numId w:val="17"/>
        </w:numPr>
        <w:spacing w:after="0" w:line="240" w:lineRule="auto"/>
        <w:rPr>
          <w:bCs/>
          <w:lang w:eastAsia="x-none"/>
        </w:rPr>
      </w:pPr>
      <w:r>
        <w:rPr>
          <w:bCs/>
          <w:lang w:eastAsia="x-none"/>
        </w:rPr>
        <w:t>FFS: Extension to non-contiguous PUSCHs</w:t>
      </w:r>
    </w:p>
    <w:p w14:paraId="0E912EA7" w14:textId="3B1216C1" w:rsidR="00B76268" w:rsidRDefault="00981E66" w:rsidP="00EE2927">
      <w:pPr>
        <w:pStyle w:val="Heading3"/>
        <w:spacing w:after="240"/>
      </w:pPr>
      <w:r w:rsidRPr="00EE2927">
        <w:t xml:space="preserve">Alternative </w:t>
      </w:r>
      <w:r w:rsidR="00D06493">
        <w:rPr>
          <w:lang w:val="en-150"/>
        </w:rPr>
        <w:t>1</w:t>
      </w:r>
      <w:r w:rsidRPr="00EE2927">
        <w:t xml:space="preserve">: </w:t>
      </w:r>
      <w:r w:rsidR="00E5347E" w:rsidRPr="00EE2927">
        <w:t>Enhanced PUSCH allocation table.</w:t>
      </w:r>
    </w:p>
    <w:p w14:paraId="18653F5C" w14:textId="3FFFC899" w:rsidR="00B76268" w:rsidRDefault="0089677E" w:rsidP="0089677E">
      <w:pPr>
        <w:spacing w:after="180"/>
        <w:rPr>
          <w:lang w:eastAsia="ja-JP"/>
        </w:rPr>
      </w:pPr>
      <w:r w:rsidRPr="008A0EB7">
        <w:rPr>
          <w:lang w:eastAsia="ja-JP"/>
        </w:rPr>
        <w:t>Following the “NR Spirit”, t</w:t>
      </w:r>
      <w:r w:rsidR="00B76268" w:rsidRPr="008A0EB7">
        <w:rPr>
          <w:lang w:eastAsia="ja-JP"/>
        </w:rPr>
        <w:t xml:space="preserve">he TDRA table for multi-slot scheduling can be constructed as an extension of single slot scheduling. The TDRA table provides information for each individual PUSCH. There is a separate K2, S, L, mapping type corresponding to each PUSCH. </w:t>
      </w:r>
      <w:r w:rsidR="00B76268" w:rsidRPr="008A0EB7">
        <w:rPr>
          <w:rFonts w:cstheme="minorHAnsi"/>
          <w:lang w:eastAsia="x-none"/>
        </w:rPr>
        <w:t xml:space="preserve">To do so, there is no need to implement any change in the table format. Instead, each entry in the table provide a </w:t>
      </w:r>
      <w:r w:rsidR="00B76268" w:rsidRPr="008A0EB7">
        <w:rPr>
          <w:rFonts w:cstheme="minorHAnsi"/>
          <w:b/>
          <w:lang w:eastAsia="x-none"/>
        </w:rPr>
        <w:t>list</w:t>
      </w:r>
      <w:r w:rsidR="00B76268" w:rsidRPr="008A0EB7">
        <w:rPr>
          <w:rFonts w:cstheme="minorHAnsi"/>
          <w:lang w:eastAsia="x-none"/>
        </w:rPr>
        <w:t xml:space="preserve"> of values for each of </w:t>
      </w:r>
      <w:r w:rsidR="00E13087" w:rsidRPr="008A0EB7">
        <w:rPr>
          <w:rFonts w:cstheme="minorHAnsi"/>
          <w:lang w:eastAsia="x-none"/>
        </w:rPr>
        <w:t>K</w:t>
      </w:r>
      <w:r w:rsidR="00E13087">
        <w:rPr>
          <w:rFonts w:cstheme="minorHAnsi"/>
          <w:lang w:eastAsia="x-none"/>
        </w:rPr>
        <w:t>2</w:t>
      </w:r>
      <w:r w:rsidR="00B76268" w:rsidRPr="008A0EB7">
        <w:rPr>
          <w:rFonts w:cstheme="minorHAnsi"/>
          <w:lang w:eastAsia="x-none"/>
        </w:rPr>
        <w:t xml:space="preserve">, SLIV and mapping type, with each value in the list correspond to a scheduled PUSCH. </w:t>
      </w:r>
      <w:r w:rsidR="00B76268" w:rsidRPr="008A0EB7">
        <w:rPr>
          <w:lang w:eastAsia="ja-JP"/>
        </w:rPr>
        <w:t xml:space="preserve">The maximum length of the list depends on the number of maximum number of scheduled PUSCHs. </w:t>
      </w:r>
      <w:r w:rsidR="000A03C4" w:rsidRPr="008A0EB7">
        <w:rPr>
          <w:lang w:eastAsia="ja-JP"/>
        </w:rPr>
        <w:t xml:space="preserve">The number of scheduled PUSCH is implicitly indicated by the TDRA table. If a PUSCH is not to be scheduled, the corresponding (K2, S, L, mapping type) is set to non-valid/empty values. </w:t>
      </w:r>
    </w:p>
    <w:p w14:paraId="60BD3CBE" w14:textId="52BF714B" w:rsidR="00274AC3" w:rsidRPr="008A0EB7" w:rsidRDefault="00562F74" w:rsidP="002422CF">
      <w:pPr>
        <w:pStyle w:val="Observation"/>
      </w:pPr>
      <w:r>
        <w:t xml:space="preserve">Enhanced TDRA table based on Alternative 1 </w:t>
      </w:r>
      <w:r w:rsidR="00082D84">
        <w:t xml:space="preserve">is a straight forward extension from rel-15 TDRA table as compared to Alternative 2.  </w:t>
      </w:r>
    </w:p>
    <w:p w14:paraId="5EF42DD4" w14:textId="622E93E9" w:rsidR="00FB70DF" w:rsidRDefault="0089677E" w:rsidP="00FB70DF">
      <w:pPr>
        <w:spacing w:after="180"/>
        <w:rPr>
          <w:lang w:eastAsia="ja-JP"/>
        </w:rPr>
      </w:pPr>
      <w:r w:rsidRPr="008A0EB7">
        <w:rPr>
          <w:lang w:eastAsia="ja-JP"/>
        </w:rPr>
        <w:t xml:space="preserve">This approach does not only </w:t>
      </w:r>
      <w:r w:rsidR="00345B57" w:rsidRPr="008A0EB7">
        <w:rPr>
          <w:lang w:eastAsia="ja-JP"/>
        </w:rPr>
        <w:t xml:space="preserve">support contiguous PUSCH scheduling, but also </w:t>
      </w:r>
      <w:r w:rsidR="009648C4" w:rsidRPr="008A0EB7">
        <w:rPr>
          <w:lang w:eastAsia="ja-JP"/>
        </w:rPr>
        <w:t>provides th</w:t>
      </w:r>
      <w:r w:rsidR="000F6EF4" w:rsidRPr="008A0EB7">
        <w:rPr>
          <w:lang w:eastAsia="ja-JP"/>
        </w:rPr>
        <w:t>e</w:t>
      </w:r>
      <w:r w:rsidR="009648C4" w:rsidRPr="008A0EB7">
        <w:rPr>
          <w:lang w:eastAsia="ja-JP"/>
        </w:rPr>
        <w:t xml:space="preserve"> flexibility to schedule multiple mini-slots in one or more slots </w:t>
      </w:r>
      <w:r w:rsidR="000F6EF4" w:rsidRPr="008A0EB7">
        <w:rPr>
          <w:lang w:eastAsia="ja-JP"/>
        </w:rPr>
        <w:t>which will provide the UE with additional access granularity.</w:t>
      </w:r>
      <w:r w:rsidR="00225973">
        <w:rPr>
          <w:lang w:eastAsia="ja-JP"/>
        </w:rPr>
        <w:t xml:space="preserve"> </w:t>
      </w:r>
      <w:r w:rsidR="00800C75" w:rsidRPr="008A0EB7">
        <w:rPr>
          <w:lang w:eastAsia="ja-JP"/>
        </w:rPr>
        <w:t xml:space="preserve"> </w:t>
      </w:r>
      <w:r w:rsidR="000F6EF4" w:rsidRPr="008A0EB7">
        <w:rPr>
          <w:lang w:eastAsia="ja-JP"/>
        </w:rPr>
        <w:t xml:space="preserve">Figure </w:t>
      </w:r>
      <w:r w:rsidR="00E13087">
        <w:rPr>
          <w:lang w:eastAsia="ja-JP"/>
        </w:rPr>
        <w:t>4</w:t>
      </w:r>
      <w:r w:rsidR="00E13087" w:rsidRPr="008A0EB7">
        <w:rPr>
          <w:lang w:eastAsia="ja-JP"/>
        </w:rPr>
        <w:t xml:space="preserve"> </w:t>
      </w:r>
      <w:r w:rsidR="000F6EF4" w:rsidRPr="008A0EB7">
        <w:rPr>
          <w:lang w:eastAsia="ja-JP"/>
        </w:rPr>
        <w:t xml:space="preserve">shows PUSCH allocation examples that can be very useful for unlicensed operation. </w:t>
      </w:r>
      <w:r w:rsidR="008737EE" w:rsidRPr="008A0EB7">
        <w:rPr>
          <w:lang w:eastAsia="ja-JP"/>
        </w:rPr>
        <w:t xml:space="preserve"> </w:t>
      </w:r>
      <w:r w:rsidR="009A60CF">
        <w:rPr>
          <w:lang w:eastAsia="ja-JP"/>
        </w:rPr>
        <w:t xml:space="preserve">This will not be possible to achieve using Alternative 2. </w:t>
      </w:r>
    </w:p>
    <w:p w14:paraId="2FED3740" w14:textId="29E340A8" w:rsidR="00FC2AA9" w:rsidRPr="008A0EB7" w:rsidRDefault="00896BE8" w:rsidP="00896BE8">
      <w:pPr>
        <w:pStyle w:val="Observation"/>
        <w:numPr>
          <w:ilvl w:val="0"/>
          <w:numId w:val="22"/>
        </w:numPr>
        <w:spacing w:line="256" w:lineRule="auto"/>
      </w:pPr>
      <w:r>
        <w:t>With Alternative 2, starting positions per slot are limited to 1 (i.e. at most one PUSCH per slot)</w:t>
      </w:r>
    </w:p>
    <w:p w14:paraId="703B7BE2" w14:textId="4CF876D3" w:rsidR="00D43E84" w:rsidRPr="00EE2927" w:rsidRDefault="008737EE" w:rsidP="00EE2927">
      <w:pPr>
        <w:spacing w:after="180"/>
        <w:rPr>
          <w:lang w:eastAsia="ja-JP"/>
        </w:rPr>
      </w:pPr>
      <w:r w:rsidRPr="00834309">
        <w:rPr>
          <w:lang w:eastAsia="ja-JP"/>
        </w:rPr>
        <w:t>Scheduling PUSC</w:t>
      </w:r>
      <w:r w:rsidRPr="00EE2927">
        <w:rPr>
          <w:lang w:eastAsia="ja-JP"/>
        </w:rPr>
        <w:t xml:space="preserve">H of different length can also be beneficial </w:t>
      </w:r>
      <w:r w:rsidR="00584807" w:rsidRPr="00EE2927">
        <w:rPr>
          <w:lang w:eastAsia="ja-JP"/>
        </w:rPr>
        <w:t>in case the same DCI schedule both initial and retransmitted PUSCH(s)</w:t>
      </w:r>
      <w:r w:rsidR="00D43E84" w:rsidRPr="00EE2927">
        <w:rPr>
          <w:lang w:eastAsia="ja-JP"/>
        </w:rPr>
        <w:t>. In principle, all PUSCH are scheduled using the same MCS, which could restrict the gNB scheduling if it needs to carefully choose a common MCS and PUSCH length for all PUSCH to match the same TB size of a single retransmitted PUSCH.  ​Having the flexibility to select different PUSCH length, provide a mechanism to match the TB size of retransmitted PUSCH to the initial transmission, while not adding restrictions to the newly scheduled initial PUSCHs</w:t>
      </w:r>
      <w:r w:rsidR="007A1306" w:rsidRPr="008A0EB7">
        <w:rPr>
          <w:lang w:eastAsia="ja-JP"/>
        </w:rPr>
        <w:t xml:space="preserve">. </w:t>
      </w:r>
    </w:p>
    <w:p w14:paraId="07D158D6" w14:textId="009CBC99" w:rsidR="00170F38" w:rsidRPr="008A0EB7" w:rsidRDefault="00170F38" w:rsidP="00EE2927">
      <w:pPr>
        <w:spacing w:after="180"/>
        <w:jc w:val="both"/>
        <w:rPr>
          <w:lang w:eastAsia="ja-JP"/>
        </w:rPr>
      </w:pPr>
    </w:p>
    <w:p w14:paraId="688155E2" w14:textId="77777777" w:rsidR="00205D93" w:rsidRDefault="00205D93" w:rsidP="00EE2927">
      <w:pPr>
        <w:keepNext/>
        <w:spacing w:after="180"/>
        <w:jc w:val="center"/>
      </w:pPr>
      <w:r>
        <w:rPr>
          <w:noProof/>
          <w:lang w:eastAsia="ja-JP"/>
        </w:rPr>
        <w:drawing>
          <wp:inline distT="0" distB="0" distL="0" distR="0" wp14:anchorId="6F11029F" wp14:editId="6C9594B8">
            <wp:extent cx="5139088" cy="1107479"/>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56606" cy="1111254"/>
                    </a:xfrm>
                    <a:prstGeom prst="rect">
                      <a:avLst/>
                    </a:prstGeom>
                    <a:noFill/>
                  </pic:spPr>
                </pic:pic>
              </a:graphicData>
            </a:graphic>
          </wp:inline>
        </w:drawing>
      </w:r>
    </w:p>
    <w:p w14:paraId="2AA886A9" w14:textId="5ADEA6BF" w:rsidR="00E676A2" w:rsidRDefault="00205D93" w:rsidP="005857EC">
      <w:pPr>
        <w:pStyle w:val="Caption"/>
        <w:jc w:val="center"/>
        <w:rPr>
          <w:b w:val="0"/>
        </w:rPr>
      </w:pPr>
      <w:r w:rsidRPr="008A0EB7">
        <w:rPr>
          <w:b w:val="0"/>
        </w:rPr>
        <w:t xml:space="preserve">Figure </w:t>
      </w:r>
      <w:r>
        <w:fldChar w:fldCharType="begin"/>
      </w:r>
      <w:r w:rsidRPr="008A0EB7">
        <w:rPr>
          <w:b w:val="0"/>
        </w:rPr>
        <w:instrText xml:space="preserve"> SEQ Figure \* ARABIC </w:instrText>
      </w:r>
      <w:r>
        <w:fldChar w:fldCharType="separate"/>
      </w:r>
      <w:r w:rsidR="00FA4B23">
        <w:rPr>
          <w:b w:val="0"/>
          <w:noProof/>
        </w:rPr>
        <w:t>4</w:t>
      </w:r>
      <w:r>
        <w:fldChar w:fldCharType="end"/>
      </w:r>
      <w:r w:rsidRPr="008A0EB7">
        <w:rPr>
          <w:b w:val="0"/>
        </w:rPr>
        <w:t>: enhanced PUSCH allocation table</w:t>
      </w:r>
    </w:p>
    <w:p w14:paraId="27082057" w14:textId="16DACA1C" w:rsidR="00E13087" w:rsidRPr="002422CF" w:rsidRDefault="006B54E8" w:rsidP="00BF14D5">
      <w:pPr>
        <w:pStyle w:val="Observation"/>
        <w:numPr>
          <w:ilvl w:val="0"/>
          <w:numId w:val="22"/>
        </w:numPr>
        <w:spacing w:line="256" w:lineRule="auto"/>
      </w:pPr>
      <w:r>
        <w:t xml:space="preserve">Using only simple RRC modification, Enhanced PUSCH allocation table </w:t>
      </w:r>
      <w:r w:rsidR="00F773C5">
        <w:t xml:space="preserve">with separate K2 per PUSCH </w:t>
      </w:r>
      <w:r>
        <w:t xml:space="preserve">provides </w:t>
      </w:r>
      <w:r w:rsidR="00590CCF">
        <w:t xml:space="preserve">flexibility to </w:t>
      </w:r>
      <w:r w:rsidR="00674177">
        <w:t>schedule</w:t>
      </w:r>
      <w:r w:rsidR="00E51112">
        <w:t xml:space="preserve"> a mixture of mini-slots and slots</w:t>
      </w:r>
      <w:r w:rsidR="00674177">
        <w:t xml:space="preserve">. </w:t>
      </w:r>
    </w:p>
    <w:p w14:paraId="2D8D8DB2" w14:textId="62885163" w:rsidR="00AF282C" w:rsidRPr="00EE2927" w:rsidRDefault="00E676A2" w:rsidP="00BB7165">
      <w:pPr>
        <w:rPr>
          <w:lang w:eastAsia="en-GB"/>
        </w:rPr>
      </w:pPr>
      <w:r w:rsidRPr="008A0EB7">
        <w:rPr>
          <w:lang w:eastAsia="en-GB"/>
        </w:rPr>
        <w:t>Additionally, this solution allows scheduling of non-contiguous PUSCH</w:t>
      </w:r>
      <w:r w:rsidR="00E85476" w:rsidRPr="008A0EB7">
        <w:rPr>
          <w:lang w:eastAsia="en-GB"/>
        </w:rPr>
        <w:t xml:space="preserve"> which can also be very helpful for unlicensed operation. </w:t>
      </w:r>
      <w:r w:rsidR="00AF282C" w:rsidRPr="008A0EB7">
        <w:rPr>
          <w:lang w:eastAsia="en-GB"/>
        </w:rPr>
        <w:t>The later can be used to a</w:t>
      </w:r>
      <w:r w:rsidR="00E85476" w:rsidRPr="008A0EB7">
        <w:rPr>
          <w:lang w:eastAsia="en-GB"/>
        </w:rPr>
        <w:t xml:space="preserve">void </w:t>
      </w:r>
      <w:r w:rsidR="00AF282C" w:rsidRPr="008A0EB7">
        <w:rPr>
          <w:lang w:eastAsia="en-GB"/>
        </w:rPr>
        <w:t>ga</w:t>
      </w:r>
      <w:r w:rsidR="00E85476" w:rsidRPr="008A0EB7">
        <w:rPr>
          <w:lang w:eastAsia="en-GB"/>
        </w:rPr>
        <w:t>ps</w:t>
      </w:r>
      <w:r w:rsidR="00AF282C" w:rsidRPr="008A0EB7">
        <w:rPr>
          <w:lang w:eastAsia="en-GB"/>
        </w:rPr>
        <w:t xml:space="preserve"> between DL and UL</w:t>
      </w:r>
      <w:r w:rsidR="00E85476" w:rsidRPr="008A0EB7">
        <w:rPr>
          <w:lang w:eastAsia="en-GB"/>
        </w:rPr>
        <w:t xml:space="preserve"> </w:t>
      </w:r>
      <w:r w:rsidR="00AF282C" w:rsidRPr="008A0EB7">
        <w:rPr>
          <w:lang w:eastAsia="en-GB"/>
        </w:rPr>
        <w:t>that are enforced by the UE</w:t>
      </w:r>
      <w:r w:rsidR="00E85476" w:rsidRPr="008A0EB7">
        <w:rPr>
          <w:lang w:eastAsia="en-GB"/>
        </w:rPr>
        <w:t xml:space="preserve"> processing delays </w:t>
      </w:r>
      <w:r w:rsidR="00E85476" w:rsidRPr="008A0EB7">
        <w:rPr>
          <w:bCs/>
          <w:i/>
          <w:iCs/>
          <w:lang w:eastAsia="en-GB"/>
        </w:rPr>
        <w:t>while keeping the PDCCH overhead minimal</w:t>
      </w:r>
      <w:r w:rsidR="00AF282C" w:rsidRPr="008A0EB7">
        <w:rPr>
          <w:bCs/>
          <w:i/>
          <w:iCs/>
          <w:lang w:eastAsia="en-GB"/>
        </w:rPr>
        <w:t xml:space="preserve">, </w:t>
      </w:r>
      <w:r w:rsidR="00AF282C" w:rsidRPr="00EE2927">
        <w:rPr>
          <w:bCs/>
          <w:lang w:eastAsia="en-GB"/>
        </w:rPr>
        <w:t xml:space="preserve">see figure </w:t>
      </w:r>
      <w:r w:rsidR="00A75B94">
        <w:rPr>
          <w:bCs/>
          <w:lang w:eastAsia="en-GB"/>
        </w:rPr>
        <w:t>5</w:t>
      </w:r>
      <w:r w:rsidR="00AF282C" w:rsidRPr="00EE2927">
        <w:rPr>
          <w:bCs/>
          <w:lang w:eastAsia="en-GB"/>
        </w:rPr>
        <w:t xml:space="preserve">. </w:t>
      </w:r>
      <w:r w:rsidR="005E5EC6" w:rsidRPr="008A0EB7">
        <w:rPr>
          <w:lang w:eastAsia="en-GB"/>
        </w:rPr>
        <w:t xml:space="preserve"> Supporting non-contiguous PUSCH becomes especially important in case of limits on the UL duration when no LBT is exploited within gNB COT. If supported, there is no need to send separate UL grant for each UL portion, as shown in figure 3. </w:t>
      </w:r>
    </w:p>
    <w:p w14:paraId="3294E49D" w14:textId="77777777" w:rsidR="004A1D9F" w:rsidRPr="008A0EB7" w:rsidRDefault="004A1D9F" w:rsidP="007E0215">
      <w:pPr>
        <w:jc w:val="center"/>
        <w:rPr>
          <w:bCs/>
          <w:i/>
          <w:iCs/>
          <w:lang w:eastAsia="en-GB"/>
        </w:rPr>
      </w:pPr>
    </w:p>
    <w:p w14:paraId="77EC0258" w14:textId="6BBB85B7" w:rsidR="005E5EC6" w:rsidRDefault="004A1D9F" w:rsidP="00EE2927">
      <w:pPr>
        <w:keepNext/>
        <w:jc w:val="center"/>
        <w:rPr>
          <w:noProof/>
          <w:lang w:eastAsia="en-GB"/>
        </w:rPr>
      </w:pPr>
      <w:r>
        <w:rPr>
          <w:bCs/>
          <w:i/>
          <w:iCs/>
          <w:noProof/>
          <w:lang w:eastAsia="en-GB"/>
        </w:rPr>
        <w:drawing>
          <wp:inline distT="0" distB="0" distL="0" distR="0" wp14:anchorId="5952F829" wp14:editId="2E3B0165">
            <wp:extent cx="3166201" cy="52844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96238" cy="533455"/>
                    </a:xfrm>
                    <a:prstGeom prst="rect">
                      <a:avLst/>
                    </a:prstGeom>
                    <a:noFill/>
                  </pic:spPr>
                </pic:pic>
              </a:graphicData>
            </a:graphic>
          </wp:inline>
        </w:drawing>
      </w:r>
    </w:p>
    <w:p w14:paraId="78CFA44B" w14:textId="6E2E2937" w:rsidR="00020C56" w:rsidRPr="008A0EB7" w:rsidRDefault="005E5EC6" w:rsidP="005E5EC6">
      <w:pPr>
        <w:jc w:val="center"/>
        <w:rPr>
          <w:lang w:eastAsia="en-GB"/>
        </w:rPr>
      </w:pPr>
      <w:r w:rsidRPr="008A0EB7">
        <w:rPr>
          <w:lang w:eastAsia="en-GB"/>
        </w:rPr>
        <w:t xml:space="preserve">    </w:t>
      </w:r>
      <w:r>
        <w:rPr>
          <w:noProof/>
          <w:lang w:eastAsia="en-GB"/>
        </w:rPr>
        <w:drawing>
          <wp:inline distT="0" distB="0" distL="0" distR="0" wp14:anchorId="050B9C4B" wp14:editId="55D9204B">
            <wp:extent cx="3150649" cy="37365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62792" cy="375090"/>
                    </a:xfrm>
                    <a:prstGeom prst="rect">
                      <a:avLst/>
                    </a:prstGeom>
                    <a:noFill/>
                  </pic:spPr>
                </pic:pic>
              </a:graphicData>
            </a:graphic>
          </wp:inline>
        </w:drawing>
      </w:r>
    </w:p>
    <w:p w14:paraId="25FE4FB8" w14:textId="22A72C2B" w:rsidR="000C583D" w:rsidRPr="00834309" w:rsidRDefault="005E5EC6" w:rsidP="00EE2927">
      <w:pPr>
        <w:pStyle w:val="Caption"/>
        <w:jc w:val="center"/>
      </w:pPr>
      <w:r w:rsidRPr="008A0EB7">
        <w:rPr>
          <w:b w:val="0"/>
        </w:rPr>
        <w:t xml:space="preserve">Figure </w:t>
      </w:r>
      <w:r w:rsidR="00A75B94">
        <w:t>5</w:t>
      </w:r>
      <w:r w:rsidRPr="008A0EB7">
        <w:rPr>
          <w:b w:val="0"/>
        </w:rPr>
        <w:t>: non-contiguous PUSCH allocation use case for NR-U</w:t>
      </w:r>
    </w:p>
    <w:p w14:paraId="041B32E8" w14:textId="77777777" w:rsidR="00E676A2" w:rsidRPr="00EE2927" w:rsidRDefault="00E676A2" w:rsidP="00EE2927">
      <w:pPr>
        <w:rPr>
          <w:lang w:eastAsia="en-GB"/>
        </w:rPr>
      </w:pPr>
    </w:p>
    <w:p w14:paraId="25432EAD" w14:textId="0E3A55D6" w:rsidR="007667DC" w:rsidRDefault="005919AC" w:rsidP="00EE2927">
      <w:pPr>
        <w:spacing w:after="240"/>
      </w:pPr>
      <w:bookmarkStart w:id="318" w:name="_Toc20304152"/>
      <w:r w:rsidRPr="00834309">
        <w:t>Taking all that in consideration, we</w:t>
      </w:r>
      <w:r w:rsidRPr="00EE2927">
        <w:t xml:space="preserve"> believe that </w:t>
      </w:r>
      <w:r w:rsidR="001672F5" w:rsidRPr="00EE2927">
        <w:t>indication of TDRA for multi-PUSCH scheduling should be based on alternative</w:t>
      </w:r>
      <w:r w:rsidR="0008663B">
        <w:t xml:space="preserve"> 1</w:t>
      </w:r>
      <w:r w:rsidR="001672F5" w:rsidRPr="00EE2927">
        <w:t>.</w:t>
      </w:r>
      <w:bookmarkEnd w:id="318"/>
      <w:r w:rsidR="001672F5" w:rsidRPr="00EE2927">
        <w:t xml:space="preserve"> </w:t>
      </w:r>
    </w:p>
    <w:p w14:paraId="688445B4" w14:textId="77777777" w:rsidR="00B456CC" w:rsidRDefault="00180288" w:rsidP="00B456CC">
      <w:pPr>
        <w:pStyle w:val="Proposal"/>
      </w:pPr>
      <w:bookmarkStart w:id="319" w:name="_Toc24038278"/>
      <w:bookmarkStart w:id="320" w:name="_Toc24123756"/>
      <w:bookmarkStart w:id="321" w:name="_Toc24123847"/>
      <w:r w:rsidRPr="003F30E3">
        <w:t>For signaling the number of scheduled PUSCHs and TDRA in one DCI scheduling multiple PUSCH</w:t>
      </w:r>
      <w:r>
        <w:t>s,</w:t>
      </w:r>
      <w:bookmarkEnd w:id="319"/>
      <w:bookmarkEnd w:id="320"/>
      <w:bookmarkEnd w:id="321"/>
      <w:r w:rsidRPr="00180288">
        <w:t xml:space="preserve"> </w:t>
      </w:r>
    </w:p>
    <w:p w14:paraId="1929A724" w14:textId="04D7DE79" w:rsidR="00B456CC" w:rsidRDefault="00180288" w:rsidP="00B456CC">
      <w:pPr>
        <w:pStyle w:val="Proposal"/>
        <w:numPr>
          <w:ilvl w:val="1"/>
          <w:numId w:val="2"/>
        </w:numPr>
      </w:pPr>
      <w:bookmarkStart w:id="322" w:name="_Toc24038279"/>
      <w:bookmarkStart w:id="323" w:name="_Toc24123757"/>
      <w:bookmarkStart w:id="324" w:name="_Toc24123848"/>
      <w:r>
        <w:t>E</w:t>
      </w:r>
      <w:r w:rsidRPr="003F30E3">
        <w:t xml:space="preserve">ach </w:t>
      </w:r>
      <w:r>
        <w:t xml:space="preserve">PUSCH has </w:t>
      </w:r>
      <w:r w:rsidRPr="003F30E3">
        <w:t xml:space="preserve">a </w:t>
      </w:r>
      <w:r>
        <w:t xml:space="preserve">separate </w:t>
      </w:r>
      <w:r w:rsidRPr="003F30E3">
        <w:t>SLIV</w:t>
      </w:r>
      <w:r w:rsidR="00B456CC">
        <w:t xml:space="preserve">, </w:t>
      </w:r>
      <w:r w:rsidRPr="003F30E3">
        <w:t>mapping type</w:t>
      </w:r>
      <w:r w:rsidR="00B456CC">
        <w:t xml:space="preserve"> and K2 value</w:t>
      </w:r>
      <w:r>
        <w:t>.</w:t>
      </w:r>
      <w:bookmarkEnd w:id="322"/>
      <w:bookmarkEnd w:id="323"/>
      <w:bookmarkEnd w:id="324"/>
      <w:r>
        <w:t xml:space="preserve"> </w:t>
      </w:r>
    </w:p>
    <w:p w14:paraId="31F4AE34" w14:textId="0689F36A" w:rsidR="00180288" w:rsidRPr="00B456CC" w:rsidRDefault="00180288" w:rsidP="00B456CC">
      <w:pPr>
        <w:pStyle w:val="Proposal"/>
        <w:numPr>
          <w:ilvl w:val="1"/>
          <w:numId w:val="2"/>
        </w:numPr>
      </w:pPr>
      <w:bookmarkStart w:id="325" w:name="_Toc24038280"/>
      <w:bookmarkStart w:id="326" w:name="_Toc24123758"/>
      <w:bookmarkStart w:id="327" w:name="_Toc24123849"/>
      <w:r w:rsidRPr="003F30E3">
        <w:t xml:space="preserve">The number of scheduled PUSCHs is signalled by the </w:t>
      </w:r>
      <w:r>
        <w:t xml:space="preserve">number of indicated valid SLIVs in the </w:t>
      </w:r>
      <w:r w:rsidRPr="003F30E3">
        <w:t>row of the TDRA table signalled in DCI</w:t>
      </w:r>
      <w:r>
        <w:t>.</w:t>
      </w:r>
      <w:bookmarkEnd w:id="325"/>
      <w:bookmarkEnd w:id="326"/>
      <w:bookmarkEnd w:id="327"/>
    </w:p>
    <w:p w14:paraId="1E5DF2C6" w14:textId="77777777" w:rsidR="00A71BAA" w:rsidRPr="009E73C1" w:rsidRDefault="00A71BAA" w:rsidP="005D7F44">
      <w:pPr>
        <w:pStyle w:val="Heading3"/>
        <w:rPr>
          <w:iCs/>
          <w:lang w:eastAsia="x-none"/>
        </w:rPr>
      </w:pPr>
      <w:bookmarkStart w:id="328" w:name="_Toc19191386"/>
      <w:bookmarkStart w:id="329" w:name="_Toc20304156"/>
      <w:bookmarkStart w:id="330" w:name="_Toc20304215"/>
      <w:bookmarkStart w:id="331" w:name="_Toc19191392"/>
      <w:bookmarkStart w:id="332" w:name="_Toc20304162"/>
      <w:bookmarkStart w:id="333" w:name="_Toc20304221"/>
      <w:bookmarkStart w:id="334" w:name="_Toc20304487"/>
      <w:bookmarkStart w:id="335" w:name="_Toc20735308"/>
      <w:bookmarkStart w:id="336" w:name="_Hlk520468333"/>
      <w:bookmarkStart w:id="337" w:name="_Hlk520468119"/>
      <w:bookmarkEnd w:id="328"/>
      <w:bookmarkEnd w:id="329"/>
      <w:bookmarkEnd w:id="330"/>
      <w:bookmarkEnd w:id="331"/>
      <w:bookmarkEnd w:id="332"/>
      <w:bookmarkEnd w:id="333"/>
      <w:bookmarkEnd w:id="334"/>
      <w:bookmarkEnd w:id="335"/>
      <w:r w:rsidRPr="009E73C1">
        <w:t xml:space="preserve">CBG based retransmissions </w:t>
      </w:r>
    </w:p>
    <w:p w14:paraId="15375B05" w14:textId="5F5D48F8" w:rsidR="00A71BAA" w:rsidRPr="008A0EB7" w:rsidRDefault="00A71BAA" w:rsidP="00A71BAA">
      <w:pPr>
        <w:textAlignment w:val="baseline"/>
        <w:rPr>
          <w:rFonts w:cstheme="minorHAnsi"/>
        </w:rPr>
      </w:pPr>
      <w:r w:rsidRPr="008A0EB7">
        <w:rPr>
          <w:rFonts w:cstheme="minorHAnsi"/>
        </w:rPr>
        <w:t>CBG- based retransmission are intended to reduce the retransmission overhead by allowing transmission of the erroneous part of the transmission, possibly over smaller resource allocation (time or frequency).  Since no</w:t>
      </w:r>
      <w:r w:rsidR="00A8299C" w:rsidRPr="008A0EB7">
        <w:rPr>
          <w:rFonts w:cstheme="minorHAnsi"/>
        </w:rPr>
        <w:t>t</w:t>
      </w:r>
      <w:r w:rsidRPr="008A0EB7">
        <w:rPr>
          <w:rFonts w:cstheme="minorHAnsi"/>
        </w:rPr>
        <w:t xml:space="preserve"> all </w:t>
      </w:r>
      <w:r w:rsidR="00A8299C" w:rsidRPr="008A0EB7">
        <w:rPr>
          <w:rFonts w:cstheme="minorHAnsi"/>
        </w:rPr>
        <w:t xml:space="preserve">the </w:t>
      </w:r>
      <w:r w:rsidRPr="008A0EB7">
        <w:rPr>
          <w:rFonts w:cstheme="minorHAnsi"/>
        </w:rPr>
        <w:t>scheduled PUSCH follow the same MCS and frequency allocation, within the same scheduled burst that in principle has similar channel interference situation, some slots (full TB) ha</w:t>
      </w:r>
      <w:r w:rsidR="00A8299C" w:rsidRPr="008A0EB7">
        <w:rPr>
          <w:rFonts w:cstheme="minorHAnsi"/>
        </w:rPr>
        <w:t>ve</w:t>
      </w:r>
      <w:r w:rsidRPr="008A0EB7">
        <w:rPr>
          <w:rFonts w:cstheme="minorHAnsi"/>
        </w:rPr>
        <w:t xml:space="preserve"> better resource utilization as compared to other slots (partial TB). Not to forget that CBG based retransmission for every slot significantly increases the signaling overhead (Number of bits to signal CGBs per slot = </w:t>
      </w:r>
      <w:r w:rsidRPr="005045A9">
        <w:rPr>
          <w:rFonts w:cstheme="minorHAnsi"/>
          <w:lang w:val="en-GB"/>
        </w:rPr>
        <w:t>CBG transmission information</w:t>
      </w:r>
      <w:r w:rsidRPr="008A0EB7">
        <w:rPr>
          <w:rFonts w:cstheme="minorHAnsi"/>
        </w:rPr>
        <w:t xml:space="preserve"> per slot * maximum number of scheduled slots. </w:t>
      </w:r>
    </w:p>
    <w:p w14:paraId="07AB8511" w14:textId="77777777" w:rsidR="00A71BAA" w:rsidRPr="008A0EB7" w:rsidRDefault="00A71BAA" w:rsidP="00A71BAA">
      <w:pPr>
        <w:textAlignment w:val="baseline"/>
        <w:rPr>
          <w:rFonts w:cstheme="minorHAnsi"/>
        </w:rPr>
      </w:pPr>
      <w:r w:rsidRPr="008A0EB7">
        <w:rPr>
          <w:rFonts w:cstheme="minorHAnsi"/>
        </w:rPr>
        <w:t xml:space="preserve">For these reasons, our preference is not to enable CBG-based retransmission when the DCI schedules multiple PUSCH. Only initial transmission and full TB retransmission can be scheduled when the DCI schedules multiple PUSCH. Nonetheless, </w:t>
      </w:r>
      <w:r w:rsidRPr="008A0EB7">
        <w:rPr>
          <w:rFonts w:cstheme="minorHAnsi"/>
          <w:b/>
        </w:rPr>
        <w:t>this does not mean</w:t>
      </w:r>
      <w:r w:rsidRPr="008A0EB7">
        <w:rPr>
          <w:rFonts w:cstheme="minorHAnsi"/>
        </w:rPr>
        <w:t xml:space="preserve"> that CBG-based retransmission can not be used in case multi-PUSCH scheduling is configured. </w:t>
      </w:r>
    </w:p>
    <w:p w14:paraId="5A1CA422" w14:textId="77777777" w:rsidR="00A71BAA" w:rsidRDefault="00A71BAA" w:rsidP="00A71BAA">
      <w:pPr>
        <w:textAlignment w:val="baseline"/>
        <w:rPr>
          <w:rFonts w:cstheme="minorHAnsi"/>
        </w:rPr>
      </w:pPr>
      <w:r w:rsidRPr="008A0EB7">
        <w:rPr>
          <w:rFonts w:cstheme="minorHAnsi"/>
        </w:rPr>
        <w:t xml:space="preserve">In principle, there is no need to include multi-bit RV and NDI when the DCI is scheduling only a single PUSCH. Those bits can be repurposed to indicate CBGTI in case of single PUSCH scheduling. This way, the benefits of enabling CBG based retransmission is retained. </w:t>
      </w:r>
      <w:r>
        <w:rPr>
          <w:rFonts w:cstheme="minorHAnsi"/>
        </w:rPr>
        <w:t xml:space="preserve">Accordingly, we propose the following: </w:t>
      </w:r>
    </w:p>
    <w:p w14:paraId="17D186B8" w14:textId="77777777" w:rsidR="00A71BAA" w:rsidRPr="005D7F44" w:rsidRDefault="00A71BAA" w:rsidP="00A71BAA">
      <w:pPr>
        <w:pStyle w:val="Proposal"/>
        <w:tabs>
          <w:tab w:val="num" w:pos="2204"/>
        </w:tabs>
        <w:spacing w:after="0"/>
        <w:ind w:left="2204"/>
        <w:rPr>
          <w:rFonts w:asciiTheme="minorHAnsi" w:hAnsiTheme="minorHAnsi" w:cstheme="minorHAnsi"/>
        </w:rPr>
      </w:pPr>
      <w:bookmarkStart w:id="338" w:name="_Toc16916410"/>
      <w:bookmarkStart w:id="339" w:name="_Toc16918888"/>
      <w:bookmarkStart w:id="340" w:name="_Toc19191393"/>
      <w:bookmarkStart w:id="341" w:name="_Toc20304163"/>
      <w:bookmarkStart w:id="342" w:name="_Toc20304222"/>
      <w:bookmarkStart w:id="343" w:name="_Toc20304488"/>
      <w:bookmarkStart w:id="344" w:name="_Toc20735309"/>
      <w:bookmarkStart w:id="345" w:name="_Toc21089993"/>
      <w:bookmarkStart w:id="346" w:name="_Toc21363928"/>
      <w:bookmarkStart w:id="347" w:name="_Toc24038281"/>
      <w:bookmarkStart w:id="348" w:name="_Toc24123759"/>
      <w:bookmarkStart w:id="349" w:name="_Toc24123850"/>
      <w:r w:rsidRPr="005D7F44">
        <w:rPr>
          <w:rFonts w:asciiTheme="minorHAnsi" w:hAnsiTheme="minorHAnsi" w:cstheme="minorHAnsi"/>
        </w:rPr>
        <w:t>If both Codebook group feedback and multi-PUSCH scheduling are configured simultaneously,</w:t>
      </w:r>
      <w:bookmarkEnd w:id="338"/>
      <w:bookmarkEnd w:id="339"/>
      <w:bookmarkEnd w:id="340"/>
      <w:bookmarkEnd w:id="341"/>
      <w:bookmarkEnd w:id="342"/>
      <w:bookmarkEnd w:id="343"/>
      <w:bookmarkEnd w:id="344"/>
      <w:bookmarkEnd w:id="345"/>
      <w:bookmarkEnd w:id="346"/>
      <w:bookmarkEnd w:id="347"/>
      <w:bookmarkEnd w:id="348"/>
      <w:bookmarkEnd w:id="349"/>
      <w:r w:rsidRPr="005D7F44">
        <w:rPr>
          <w:rFonts w:asciiTheme="minorHAnsi" w:hAnsiTheme="minorHAnsi" w:cstheme="minorHAnsi"/>
        </w:rPr>
        <w:t xml:space="preserve"> </w:t>
      </w:r>
    </w:p>
    <w:p w14:paraId="5C29F691" w14:textId="064FA4FC" w:rsidR="00A71BAA" w:rsidRPr="00E97823" w:rsidRDefault="00A71BAA" w:rsidP="00A71BAA">
      <w:pPr>
        <w:pStyle w:val="Proposal"/>
        <w:numPr>
          <w:ilvl w:val="1"/>
          <w:numId w:val="2"/>
        </w:numPr>
        <w:spacing w:after="0"/>
        <w:rPr>
          <w:rFonts w:asciiTheme="minorHAnsi" w:hAnsiTheme="minorHAnsi" w:cstheme="minorHAnsi"/>
        </w:rPr>
      </w:pPr>
      <w:bookmarkStart w:id="350" w:name="_Toc16916411"/>
      <w:bookmarkStart w:id="351" w:name="_Toc16918889"/>
      <w:bookmarkStart w:id="352" w:name="_Toc19191394"/>
      <w:bookmarkStart w:id="353" w:name="_Toc20304164"/>
      <w:bookmarkStart w:id="354" w:name="_Toc20304223"/>
      <w:bookmarkStart w:id="355" w:name="_Toc20304489"/>
      <w:bookmarkStart w:id="356" w:name="_Toc20735310"/>
      <w:bookmarkStart w:id="357" w:name="_Toc21089994"/>
      <w:bookmarkStart w:id="358" w:name="_Toc21363929"/>
      <w:bookmarkStart w:id="359" w:name="_Toc24038282"/>
      <w:bookmarkStart w:id="360" w:name="_Toc24123760"/>
      <w:bookmarkStart w:id="361" w:name="_Toc24123851"/>
      <w:r w:rsidRPr="00E97823">
        <w:rPr>
          <w:rFonts w:asciiTheme="minorHAnsi" w:hAnsiTheme="minorHAnsi" w:cstheme="minorHAnsi"/>
        </w:rPr>
        <w:t xml:space="preserve">if </w:t>
      </w:r>
      <w:r w:rsidR="00F1492E">
        <w:rPr>
          <w:rFonts w:asciiTheme="minorHAnsi" w:hAnsiTheme="minorHAnsi" w:cstheme="minorHAnsi"/>
          <w:lang w:val="en-150"/>
        </w:rPr>
        <w:t>one PUSCH is scheduled</w:t>
      </w:r>
      <w:r w:rsidRPr="00E97823">
        <w:rPr>
          <w:rFonts w:asciiTheme="minorHAnsi" w:hAnsiTheme="minorHAnsi" w:cstheme="minorHAnsi"/>
        </w:rPr>
        <w:t>,</w:t>
      </w:r>
      <w:bookmarkEnd w:id="350"/>
      <w:bookmarkEnd w:id="351"/>
      <w:bookmarkEnd w:id="352"/>
      <w:bookmarkEnd w:id="353"/>
      <w:bookmarkEnd w:id="354"/>
      <w:bookmarkEnd w:id="355"/>
      <w:bookmarkEnd w:id="356"/>
      <w:bookmarkEnd w:id="357"/>
      <w:bookmarkEnd w:id="358"/>
      <w:bookmarkEnd w:id="359"/>
      <w:bookmarkEnd w:id="360"/>
      <w:bookmarkEnd w:id="361"/>
      <w:r w:rsidRPr="00E97823">
        <w:rPr>
          <w:rFonts w:asciiTheme="minorHAnsi" w:hAnsiTheme="minorHAnsi" w:cstheme="minorHAnsi"/>
        </w:rPr>
        <w:t xml:space="preserve"> </w:t>
      </w:r>
    </w:p>
    <w:p w14:paraId="50E4FB95" w14:textId="77777777" w:rsidR="00A71BAA" w:rsidRPr="005D7F44" w:rsidRDefault="00A71BAA" w:rsidP="00A71BAA">
      <w:pPr>
        <w:pStyle w:val="Proposal"/>
        <w:numPr>
          <w:ilvl w:val="2"/>
          <w:numId w:val="2"/>
        </w:numPr>
        <w:spacing w:after="0"/>
        <w:rPr>
          <w:rFonts w:asciiTheme="minorHAnsi" w:hAnsiTheme="minorHAnsi" w:cstheme="minorHAnsi"/>
        </w:rPr>
      </w:pPr>
      <w:bookmarkStart w:id="362" w:name="_Toc16916412"/>
      <w:bookmarkStart w:id="363" w:name="_Toc16918890"/>
      <w:bookmarkStart w:id="364" w:name="_Toc19191395"/>
      <w:bookmarkStart w:id="365" w:name="_Toc20304165"/>
      <w:bookmarkStart w:id="366" w:name="_Toc20304224"/>
      <w:bookmarkStart w:id="367" w:name="_Toc20304490"/>
      <w:bookmarkStart w:id="368" w:name="_Toc20735311"/>
      <w:bookmarkStart w:id="369" w:name="_Toc21089995"/>
      <w:bookmarkStart w:id="370" w:name="_Toc21363930"/>
      <w:bookmarkStart w:id="371" w:name="_Toc24038283"/>
      <w:bookmarkStart w:id="372" w:name="_Toc24123761"/>
      <w:bookmarkStart w:id="373" w:name="_Toc24123852"/>
      <w:r w:rsidRPr="005D7F44">
        <w:rPr>
          <w:rFonts w:asciiTheme="minorHAnsi" w:hAnsiTheme="minorHAnsi" w:cstheme="minorHAnsi"/>
        </w:rPr>
        <w:t>RV, NDI is indicated for one slot (i.e. RV is two bits, NDI is one bit)</w:t>
      </w:r>
      <w:bookmarkEnd w:id="362"/>
      <w:bookmarkEnd w:id="363"/>
      <w:bookmarkEnd w:id="364"/>
      <w:bookmarkEnd w:id="365"/>
      <w:bookmarkEnd w:id="366"/>
      <w:bookmarkEnd w:id="367"/>
      <w:bookmarkEnd w:id="368"/>
      <w:bookmarkEnd w:id="369"/>
      <w:bookmarkEnd w:id="370"/>
      <w:bookmarkEnd w:id="371"/>
      <w:bookmarkEnd w:id="372"/>
      <w:bookmarkEnd w:id="373"/>
    </w:p>
    <w:p w14:paraId="7B9453F9" w14:textId="77777777" w:rsidR="00A71BAA" w:rsidRPr="005D7F44" w:rsidRDefault="00A71BAA" w:rsidP="00A71BAA">
      <w:pPr>
        <w:pStyle w:val="Proposal"/>
        <w:numPr>
          <w:ilvl w:val="2"/>
          <w:numId w:val="2"/>
        </w:numPr>
        <w:spacing w:after="0"/>
        <w:rPr>
          <w:rFonts w:asciiTheme="minorHAnsi" w:hAnsiTheme="minorHAnsi" w:cstheme="minorHAnsi"/>
        </w:rPr>
      </w:pPr>
      <w:bookmarkStart w:id="374" w:name="_Toc16916413"/>
      <w:bookmarkStart w:id="375" w:name="_Toc16918891"/>
      <w:bookmarkStart w:id="376" w:name="_Toc19191396"/>
      <w:bookmarkStart w:id="377" w:name="_Toc20304166"/>
      <w:bookmarkStart w:id="378" w:name="_Toc20304225"/>
      <w:bookmarkStart w:id="379" w:name="_Toc20304491"/>
      <w:bookmarkStart w:id="380" w:name="_Toc20735312"/>
      <w:bookmarkStart w:id="381" w:name="_Toc21089996"/>
      <w:bookmarkStart w:id="382" w:name="_Toc21363931"/>
      <w:bookmarkStart w:id="383" w:name="_Toc24038284"/>
      <w:bookmarkStart w:id="384" w:name="_Toc24123762"/>
      <w:bookmarkStart w:id="385" w:name="_Toc24123853"/>
      <w:r w:rsidRPr="005D7F44">
        <w:rPr>
          <w:rFonts w:asciiTheme="minorHAnsi" w:hAnsiTheme="minorHAnsi" w:cstheme="minorHAnsi"/>
        </w:rPr>
        <w:t>DCI indicates CBGTI information corresponding to the scheduled PUSCH</w:t>
      </w:r>
      <w:bookmarkEnd w:id="374"/>
      <w:bookmarkEnd w:id="375"/>
      <w:bookmarkEnd w:id="376"/>
      <w:bookmarkEnd w:id="377"/>
      <w:bookmarkEnd w:id="378"/>
      <w:bookmarkEnd w:id="379"/>
      <w:bookmarkEnd w:id="380"/>
      <w:bookmarkEnd w:id="381"/>
      <w:bookmarkEnd w:id="382"/>
      <w:bookmarkEnd w:id="383"/>
      <w:bookmarkEnd w:id="384"/>
      <w:bookmarkEnd w:id="385"/>
    </w:p>
    <w:p w14:paraId="0466774A" w14:textId="7109A7BB" w:rsidR="00A71BAA" w:rsidRPr="00E97823" w:rsidRDefault="0015023B" w:rsidP="00A71BAA">
      <w:pPr>
        <w:pStyle w:val="Proposal"/>
        <w:numPr>
          <w:ilvl w:val="1"/>
          <w:numId w:val="2"/>
        </w:numPr>
        <w:spacing w:after="0"/>
        <w:rPr>
          <w:rFonts w:asciiTheme="minorHAnsi" w:hAnsiTheme="minorHAnsi" w:cstheme="minorHAnsi"/>
        </w:rPr>
      </w:pPr>
      <w:bookmarkStart w:id="386" w:name="_Toc16916414"/>
      <w:bookmarkStart w:id="387" w:name="_Toc16918892"/>
      <w:bookmarkStart w:id="388" w:name="_Toc19191397"/>
      <w:bookmarkStart w:id="389" w:name="_Toc20304167"/>
      <w:bookmarkStart w:id="390" w:name="_Toc20304226"/>
      <w:bookmarkStart w:id="391" w:name="_Toc20304492"/>
      <w:bookmarkStart w:id="392" w:name="_Toc20735313"/>
      <w:bookmarkStart w:id="393" w:name="_Toc21089997"/>
      <w:bookmarkStart w:id="394" w:name="_Toc21363932"/>
      <w:bookmarkStart w:id="395" w:name="_Toc24038285"/>
      <w:bookmarkStart w:id="396" w:name="_Toc24123763"/>
      <w:bookmarkStart w:id="397" w:name="_Toc24123854"/>
      <w:r>
        <w:rPr>
          <w:rFonts w:asciiTheme="minorHAnsi" w:hAnsiTheme="minorHAnsi" w:cstheme="minorHAnsi"/>
          <w:lang w:val="en-150"/>
        </w:rPr>
        <w:t>Else if more than one PUSCH is scheduled</w:t>
      </w:r>
      <w:r w:rsidR="00A71BAA" w:rsidRPr="00E97823">
        <w:rPr>
          <w:rFonts w:asciiTheme="minorHAnsi" w:hAnsiTheme="minorHAnsi" w:cstheme="minorHAnsi"/>
        </w:rPr>
        <w:t>,</w:t>
      </w:r>
      <w:bookmarkEnd w:id="386"/>
      <w:bookmarkEnd w:id="387"/>
      <w:bookmarkEnd w:id="388"/>
      <w:bookmarkEnd w:id="389"/>
      <w:bookmarkEnd w:id="390"/>
      <w:bookmarkEnd w:id="391"/>
      <w:bookmarkEnd w:id="392"/>
      <w:bookmarkEnd w:id="393"/>
      <w:bookmarkEnd w:id="394"/>
      <w:bookmarkEnd w:id="395"/>
      <w:bookmarkEnd w:id="396"/>
      <w:bookmarkEnd w:id="397"/>
      <w:r w:rsidR="00A71BAA" w:rsidRPr="00E97823">
        <w:rPr>
          <w:rFonts w:asciiTheme="minorHAnsi" w:hAnsiTheme="minorHAnsi" w:cstheme="minorHAnsi"/>
        </w:rPr>
        <w:t xml:space="preserve"> </w:t>
      </w:r>
    </w:p>
    <w:p w14:paraId="69FB00DC" w14:textId="52241577" w:rsidR="00A71BAA" w:rsidRPr="00E97823" w:rsidRDefault="00A71BAA" w:rsidP="00A71BAA">
      <w:pPr>
        <w:pStyle w:val="Proposal"/>
        <w:numPr>
          <w:ilvl w:val="2"/>
          <w:numId w:val="2"/>
        </w:numPr>
        <w:spacing w:after="0"/>
        <w:rPr>
          <w:rFonts w:asciiTheme="minorHAnsi" w:hAnsiTheme="minorHAnsi" w:cstheme="minorHAnsi"/>
        </w:rPr>
      </w:pPr>
      <w:bookmarkStart w:id="398" w:name="_Toc16916415"/>
      <w:bookmarkStart w:id="399" w:name="_Toc16918893"/>
      <w:bookmarkStart w:id="400" w:name="_Toc19191398"/>
      <w:bookmarkStart w:id="401" w:name="_Toc20304168"/>
      <w:bookmarkStart w:id="402" w:name="_Toc20304227"/>
      <w:bookmarkStart w:id="403" w:name="_Toc20304493"/>
      <w:bookmarkStart w:id="404" w:name="_Toc20735314"/>
      <w:bookmarkStart w:id="405" w:name="_Toc21089998"/>
      <w:bookmarkStart w:id="406" w:name="_Toc21363933"/>
      <w:bookmarkStart w:id="407" w:name="_Toc24038286"/>
      <w:bookmarkStart w:id="408" w:name="_Toc24123764"/>
      <w:bookmarkStart w:id="409" w:name="_Toc24123855"/>
      <w:r w:rsidRPr="005D7F44">
        <w:rPr>
          <w:rFonts w:asciiTheme="minorHAnsi" w:hAnsiTheme="minorHAnsi" w:cstheme="minorHAnsi"/>
        </w:rPr>
        <w:t xml:space="preserve">CBGTI is not supported in case the DCI is scheduling multiple PUSCH. </w:t>
      </w:r>
      <w:r w:rsidRPr="00E97823">
        <w:rPr>
          <w:rFonts w:asciiTheme="minorHAnsi" w:hAnsiTheme="minorHAnsi" w:cstheme="minorHAnsi"/>
        </w:rPr>
        <w:t xml:space="preserve">The field </w:t>
      </w:r>
      <w:r w:rsidR="00102144">
        <w:rPr>
          <w:rFonts w:asciiTheme="minorHAnsi" w:hAnsiTheme="minorHAnsi" w:cstheme="minorHAnsi"/>
        </w:rPr>
        <w:t xml:space="preserve">is </w:t>
      </w:r>
      <w:r w:rsidRPr="00E97823">
        <w:rPr>
          <w:rFonts w:asciiTheme="minorHAnsi" w:hAnsiTheme="minorHAnsi" w:cstheme="minorHAnsi"/>
        </w:rPr>
        <w:t>not included in DCI.</w:t>
      </w:r>
      <w:bookmarkEnd w:id="398"/>
      <w:bookmarkEnd w:id="399"/>
      <w:bookmarkEnd w:id="400"/>
      <w:bookmarkEnd w:id="401"/>
      <w:bookmarkEnd w:id="402"/>
      <w:bookmarkEnd w:id="403"/>
      <w:bookmarkEnd w:id="404"/>
      <w:bookmarkEnd w:id="405"/>
      <w:bookmarkEnd w:id="406"/>
      <w:bookmarkEnd w:id="407"/>
      <w:bookmarkEnd w:id="408"/>
      <w:bookmarkEnd w:id="409"/>
    </w:p>
    <w:p w14:paraId="5D5CF3DA" w14:textId="77777777" w:rsidR="00A71BAA" w:rsidRPr="005D7F44" w:rsidRDefault="00A71BAA" w:rsidP="00A71BAA">
      <w:pPr>
        <w:pStyle w:val="Proposal"/>
        <w:numPr>
          <w:ilvl w:val="2"/>
          <w:numId w:val="2"/>
        </w:numPr>
        <w:spacing w:after="0"/>
        <w:rPr>
          <w:rFonts w:asciiTheme="minorHAnsi" w:hAnsiTheme="minorHAnsi" w:cstheme="minorHAnsi"/>
        </w:rPr>
      </w:pPr>
      <w:bookmarkStart w:id="410" w:name="_Toc16916416"/>
      <w:bookmarkStart w:id="411" w:name="_Toc16918894"/>
      <w:bookmarkStart w:id="412" w:name="_Toc19191399"/>
      <w:bookmarkStart w:id="413" w:name="_Toc20304169"/>
      <w:bookmarkStart w:id="414" w:name="_Toc20304228"/>
      <w:bookmarkStart w:id="415" w:name="_Toc20304494"/>
      <w:bookmarkStart w:id="416" w:name="_Toc20735315"/>
      <w:bookmarkStart w:id="417" w:name="_Toc21089999"/>
      <w:bookmarkStart w:id="418" w:name="_Toc21363934"/>
      <w:bookmarkStart w:id="419" w:name="_Toc24038287"/>
      <w:bookmarkStart w:id="420" w:name="_Toc24123765"/>
      <w:bookmarkStart w:id="421" w:name="_Toc24123856"/>
      <w:r w:rsidRPr="005D7F44">
        <w:rPr>
          <w:rFonts w:asciiTheme="minorHAnsi" w:hAnsiTheme="minorHAnsi" w:cstheme="minorHAnsi"/>
        </w:rPr>
        <w:t>Each of the RV and NDI bit width is equal to the maximum number of scheduled slots in RRC configuration</w:t>
      </w:r>
      <w:bookmarkEnd w:id="410"/>
      <w:bookmarkEnd w:id="411"/>
      <w:bookmarkEnd w:id="412"/>
      <w:bookmarkEnd w:id="413"/>
      <w:bookmarkEnd w:id="414"/>
      <w:bookmarkEnd w:id="415"/>
      <w:bookmarkEnd w:id="416"/>
      <w:bookmarkEnd w:id="417"/>
      <w:bookmarkEnd w:id="418"/>
      <w:bookmarkEnd w:id="419"/>
      <w:bookmarkEnd w:id="420"/>
      <w:bookmarkEnd w:id="421"/>
    </w:p>
    <w:p w14:paraId="02AC12E8" w14:textId="48C0A9FD" w:rsidR="00A71BAA" w:rsidRDefault="00A71BAA" w:rsidP="00A71BAA">
      <w:pPr>
        <w:pStyle w:val="Proposal"/>
        <w:numPr>
          <w:ilvl w:val="1"/>
          <w:numId w:val="2"/>
        </w:numPr>
        <w:spacing w:after="0"/>
        <w:rPr>
          <w:rFonts w:asciiTheme="minorHAnsi" w:hAnsiTheme="minorHAnsi" w:cstheme="minorHAnsi"/>
        </w:rPr>
      </w:pPr>
      <w:bookmarkStart w:id="422" w:name="_Toc16916417"/>
      <w:bookmarkStart w:id="423" w:name="_Toc16918895"/>
      <w:bookmarkStart w:id="424" w:name="_Toc19191400"/>
      <w:bookmarkStart w:id="425" w:name="_Toc20304170"/>
      <w:bookmarkStart w:id="426" w:name="_Toc20304229"/>
      <w:bookmarkStart w:id="427" w:name="_Toc20304495"/>
      <w:bookmarkStart w:id="428" w:name="_Toc20735316"/>
      <w:bookmarkStart w:id="429" w:name="_Toc21090000"/>
      <w:bookmarkStart w:id="430" w:name="_Toc21363935"/>
      <w:bookmarkStart w:id="431" w:name="_Toc24038288"/>
      <w:bookmarkStart w:id="432" w:name="_Toc24123766"/>
      <w:bookmarkStart w:id="433" w:name="_Toc24123857"/>
      <w:r w:rsidRPr="005D7F44">
        <w:rPr>
          <w:rFonts w:asciiTheme="minorHAnsi" w:hAnsiTheme="minorHAnsi" w:cstheme="minorHAnsi"/>
        </w:rPr>
        <w:t>Zero padding might be needed to align the DCI length for the two cases.</w:t>
      </w:r>
      <w:bookmarkEnd w:id="422"/>
      <w:bookmarkEnd w:id="423"/>
      <w:bookmarkEnd w:id="424"/>
      <w:bookmarkEnd w:id="425"/>
      <w:bookmarkEnd w:id="426"/>
      <w:bookmarkEnd w:id="427"/>
      <w:bookmarkEnd w:id="428"/>
      <w:bookmarkEnd w:id="429"/>
      <w:bookmarkEnd w:id="430"/>
      <w:bookmarkEnd w:id="431"/>
      <w:bookmarkEnd w:id="432"/>
      <w:bookmarkEnd w:id="433"/>
      <w:r w:rsidRPr="005D7F44">
        <w:rPr>
          <w:rFonts w:asciiTheme="minorHAnsi" w:hAnsiTheme="minorHAnsi" w:cstheme="minorHAnsi"/>
        </w:rPr>
        <w:t xml:space="preserve"> </w:t>
      </w:r>
    </w:p>
    <w:p w14:paraId="22463723" w14:textId="046570DC" w:rsidR="000D5BEF" w:rsidRPr="00EE2927" w:rsidRDefault="000D5BEF" w:rsidP="00EE2927">
      <w:pPr>
        <w:textAlignment w:val="baseline"/>
        <w:rPr>
          <w:rFonts w:cstheme="minorHAnsi"/>
        </w:rPr>
      </w:pPr>
    </w:p>
    <w:p w14:paraId="60D32A30" w14:textId="546754C5" w:rsidR="00CD56CE" w:rsidRDefault="00CD56CE" w:rsidP="00CD56CE">
      <w:pPr>
        <w:pStyle w:val="Heading3"/>
        <w:rPr>
          <w:rFonts w:asciiTheme="majorBidi" w:hAnsiTheme="majorBidi"/>
        </w:rPr>
      </w:pPr>
      <w:r>
        <w:rPr>
          <w:rFonts w:asciiTheme="majorBidi" w:hAnsiTheme="majorBidi"/>
        </w:rPr>
        <w:lastRenderedPageBreak/>
        <w:t>TBS determination and MCS signaling for retransmissions</w:t>
      </w:r>
    </w:p>
    <w:p w14:paraId="6D0082DC" w14:textId="77777777" w:rsidR="003606D7" w:rsidRDefault="003606D7" w:rsidP="003606D7">
      <w:pPr>
        <w:rPr>
          <w:bCs/>
          <w:lang w:eastAsia="x-none"/>
        </w:rPr>
      </w:pPr>
      <w:r w:rsidRPr="00412491">
        <w:rPr>
          <w:bCs/>
          <w:highlight w:val="green"/>
          <w:lang w:eastAsia="x-none"/>
        </w:rPr>
        <w:t>Agreement:</w:t>
      </w:r>
    </w:p>
    <w:p w14:paraId="47A91BF2" w14:textId="77777777" w:rsidR="003606D7" w:rsidRDefault="003606D7" w:rsidP="003606D7">
      <w:pPr>
        <w:rPr>
          <w:bCs/>
          <w:lang w:eastAsia="x-none"/>
        </w:rPr>
      </w:pPr>
      <w:r>
        <w:rPr>
          <w:bCs/>
          <w:lang w:eastAsia="x-none"/>
        </w:rPr>
        <w:t xml:space="preserve">Consider the following alternatives for signalling the MCS index for PUSCHs scheduled by a single DCI. </w:t>
      </w:r>
    </w:p>
    <w:p w14:paraId="3DA1EDA7" w14:textId="77777777" w:rsidR="003606D7" w:rsidRPr="009D66A2" w:rsidRDefault="003606D7" w:rsidP="00BF14D5">
      <w:pPr>
        <w:numPr>
          <w:ilvl w:val="0"/>
          <w:numId w:val="17"/>
        </w:numPr>
        <w:spacing w:after="0" w:line="240" w:lineRule="auto"/>
        <w:rPr>
          <w:bCs/>
          <w:lang w:eastAsia="x-none"/>
        </w:rPr>
      </w:pPr>
      <w:r w:rsidRPr="009D66A2">
        <w:rPr>
          <w:bCs/>
          <w:lang w:eastAsia="x-none"/>
        </w:rPr>
        <w:t>Alt</w:t>
      </w:r>
      <w:r>
        <w:rPr>
          <w:bCs/>
          <w:lang w:eastAsia="x-none"/>
        </w:rPr>
        <w:t xml:space="preserve">. </w:t>
      </w:r>
      <w:r w:rsidRPr="009D66A2">
        <w:rPr>
          <w:bCs/>
          <w:lang w:eastAsia="x-none"/>
        </w:rPr>
        <w:t>1: A single MCS index is signalled for all the PUSCHs scheduled by a single DCI</w:t>
      </w:r>
    </w:p>
    <w:p w14:paraId="0826F83D" w14:textId="77777777" w:rsidR="003606D7" w:rsidRPr="009D66A2" w:rsidRDefault="003606D7" w:rsidP="00BF14D5">
      <w:pPr>
        <w:numPr>
          <w:ilvl w:val="1"/>
          <w:numId w:val="17"/>
        </w:numPr>
        <w:spacing w:after="0" w:line="240" w:lineRule="auto"/>
        <w:rPr>
          <w:bCs/>
          <w:lang w:eastAsia="x-none"/>
        </w:rPr>
      </w:pPr>
      <w:r w:rsidRPr="009D66A2">
        <w:rPr>
          <w:bCs/>
          <w:lang w:eastAsia="x-none"/>
        </w:rPr>
        <w:t>UE applies the same behaviour for the PUSCHs scheduled for initial transmission or re-transmission (Rel-15 behaviour):</w:t>
      </w:r>
    </w:p>
    <w:p w14:paraId="5A0DE418" w14:textId="77777777" w:rsidR="003606D7" w:rsidRPr="009D66A2" w:rsidRDefault="003606D7" w:rsidP="00BF14D5">
      <w:pPr>
        <w:numPr>
          <w:ilvl w:val="2"/>
          <w:numId w:val="17"/>
        </w:numPr>
        <w:spacing w:after="0" w:line="240" w:lineRule="auto"/>
        <w:rPr>
          <w:bCs/>
          <w:lang w:eastAsia="x-none"/>
        </w:rPr>
      </w:pPr>
      <w:r w:rsidRPr="009D66A2">
        <w:rPr>
          <w:bCs/>
          <w:lang w:eastAsia="x-none"/>
        </w:rPr>
        <w:t>If MCS row 0-27 is indicated: the UE determines the TB size based on the explicitly indicated MCS</w:t>
      </w:r>
    </w:p>
    <w:p w14:paraId="61F465CD" w14:textId="77777777" w:rsidR="003606D7" w:rsidRPr="009D66A2" w:rsidRDefault="003606D7" w:rsidP="00BF14D5">
      <w:pPr>
        <w:numPr>
          <w:ilvl w:val="2"/>
          <w:numId w:val="17"/>
        </w:numPr>
        <w:spacing w:after="0" w:line="240" w:lineRule="auto"/>
        <w:rPr>
          <w:bCs/>
          <w:lang w:eastAsia="x-none"/>
        </w:rPr>
      </w:pPr>
      <w:r w:rsidRPr="009D66A2">
        <w:rPr>
          <w:bCs/>
          <w:lang w:eastAsia="x-none"/>
        </w:rPr>
        <w:t>If MCS row 28-31 is indicated: the UE refers to the DCI scheduling the initial PUSCH to determine the TB size</w:t>
      </w:r>
    </w:p>
    <w:p w14:paraId="77F257B0" w14:textId="77777777" w:rsidR="003606D7" w:rsidRPr="009D66A2" w:rsidRDefault="003606D7" w:rsidP="00BF14D5">
      <w:pPr>
        <w:numPr>
          <w:ilvl w:val="0"/>
          <w:numId w:val="17"/>
        </w:numPr>
        <w:spacing w:after="0" w:line="240" w:lineRule="auto"/>
        <w:rPr>
          <w:bCs/>
          <w:lang w:eastAsia="x-none"/>
        </w:rPr>
      </w:pPr>
      <w:r w:rsidRPr="009D66A2">
        <w:rPr>
          <w:bCs/>
          <w:lang w:eastAsia="x-none"/>
        </w:rPr>
        <w:t>Alt</w:t>
      </w:r>
      <w:r>
        <w:rPr>
          <w:bCs/>
          <w:lang w:eastAsia="x-none"/>
        </w:rPr>
        <w:t>. 2</w:t>
      </w:r>
      <w:r w:rsidRPr="009D66A2">
        <w:rPr>
          <w:bCs/>
          <w:lang w:eastAsia="x-none"/>
        </w:rPr>
        <w:t>: A single normal MCS (row 0-27) is indicated in the scheduling DCI for uplink multi-TTI scheduling</w:t>
      </w:r>
    </w:p>
    <w:p w14:paraId="271B028F" w14:textId="77777777" w:rsidR="003606D7" w:rsidRPr="009D66A2" w:rsidRDefault="003606D7" w:rsidP="00BF14D5">
      <w:pPr>
        <w:numPr>
          <w:ilvl w:val="1"/>
          <w:numId w:val="17"/>
        </w:numPr>
        <w:spacing w:after="0" w:line="240" w:lineRule="auto"/>
        <w:rPr>
          <w:bCs/>
          <w:lang w:eastAsia="x-none"/>
        </w:rPr>
      </w:pPr>
      <w:r w:rsidRPr="009D66A2">
        <w:rPr>
          <w:bCs/>
          <w:lang w:eastAsia="x-none"/>
        </w:rPr>
        <w:t>For a PUSCH scheduled for initial transmission: the UE determines the TB size based on the explicitly indicated MCS</w:t>
      </w:r>
    </w:p>
    <w:p w14:paraId="523DF919" w14:textId="77777777" w:rsidR="003606D7" w:rsidRPr="009D66A2" w:rsidRDefault="003606D7" w:rsidP="00BF14D5">
      <w:pPr>
        <w:numPr>
          <w:ilvl w:val="1"/>
          <w:numId w:val="17"/>
        </w:numPr>
        <w:spacing w:after="0" w:line="240" w:lineRule="auto"/>
        <w:rPr>
          <w:bCs/>
          <w:lang w:eastAsia="x-none"/>
        </w:rPr>
      </w:pPr>
      <w:r w:rsidRPr="009D66A2">
        <w:rPr>
          <w:bCs/>
          <w:lang w:eastAsia="x-none"/>
        </w:rPr>
        <w:t xml:space="preserve">For a PUSCH scheduled for re-transmission: the UE refers to the DCI scheduling the initial PUSCH to determine the TB size </w:t>
      </w:r>
    </w:p>
    <w:p w14:paraId="2E8A030F" w14:textId="77777777" w:rsidR="003606D7" w:rsidRPr="009D66A2" w:rsidRDefault="003606D7" w:rsidP="00BF14D5">
      <w:pPr>
        <w:numPr>
          <w:ilvl w:val="1"/>
          <w:numId w:val="17"/>
        </w:numPr>
        <w:spacing w:after="0" w:line="240" w:lineRule="auto"/>
        <w:rPr>
          <w:bCs/>
          <w:lang w:eastAsia="x-none"/>
        </w:rPr>
      </w:pPr>
      <w:r>
        <w:rPr>
          <w:bCs/>
          <w:lang w:eastAsia="x-none"/>
        </w:rPr>
        <w:t xml:space="preserve">FFS: </w:t>
      </w:r>
      <w:r w:rsidRPr="009D66A2">
        <w:rPr>
          <w:bCs/>
          <w:lang w:eastAsia="x-none"/>
        </w:rPr>
        <w:t>The UE does not expect to receive signalling of an implicit MCS row 28-31 in a DCI scheduling multiple PUSCHs</w:t>
      </w:r>
    </w:p>
    <w:p w14:paraId="7FA41B28" w14:textId="77777777" w:rsidR="003606D7" w:rsidRPr="009D66A2" w:rsidRDefault="003606D7" w:rsidP="00BF14D5">
      <w:pPr>
        <w:numPr>
          <w:ilvl w:val="0"/>
          <w:numId w:val="17"/>
        </w:numPr>
        <w:spacing w:after="0" w:line="240" w:lineRule="auto"/>
        <w:rPr>
          <w:bCs/>
          <w:lang w:eastAsia="x-none"/>
        </w:rPr>
      </w:pPr>
      <w:r w:rsidRPr="009D66A2">
        <w:rPr>
          <w:bCs/>
          <w:lang w:eastAsia="x-none"/>
        </w:rPr>
        <w:t>A</w:t>
      </w:r>
      <w:r w:rsidRPr="009D66A2">
        <w:rPr>
          <w:rFonts w:hint="eastAsia"/>
          <w:bCs/>
          <w:lang w:eastAsia="x-none"/>
        </w:rPr>
        <w:t>lt</w:t>
      </w:r>
      <w:r>
        <w:rPr>
          <w:bCs/>
          <w:lang w:eastAsia="x-none"/>
        </w:rPr>
        <w:t>.</w:t>
      </w:r>
      <w:r w:rsidRPr="009D66A2">
        <w:rPr>
          <w:rFonts w:hint="eastAsia"/>
          <w:bCs/>
          <w:lang w:eastAsia="x-none"/>
        </w:rPr>
        <w:t xml:space="preserve"> </w:t>
      </w:r>
      <w:r>
        <w:rPr>
          <w:bCs/>
          <w:lang w:eastAsia="x-none"/>
        </w:rPr>
        <w:t>3</w:t>
      </w:r>
      <w:r w:rsidRPr="009D66A2">
        <w:rPr>
          <w:bCs/>
          <w:lang w:eastAsia="x-none"/>
        </w:rPr>
        <w:t>: Use a bitmap to determine for which of the PUSCHs the TBS determination should not be based on MCS in the multi-TTI DCI, and should instead be based on the previous DCI scheduling the same TB for the same HARQ process ID.</w:t>
      </w:r>
    </w:p>
    <w:p w14:paraId="55B2BD06" w14:textId="77777777" w:rsidR="003606D7" w:rsidRPr="009D66A2" w:rsidRDefault="003606D7" w:rsidP="00BF14D5">
      <w:pPr>
        <w:numPr>
          <w:ilvl w:val="1"/>
          <w:numId w:val="17"/>
        </w:numPr>
        <w:spacing w:after="0" w:line="240" w:lineRule="auto"/>
        <w:rPr>
          <w:bCs/>
          <w:lang w:eastAsia="x-none"/>
        </w:rPr>
      </w:pPr>
      <w:r w:rsidRPr="009D66A2">
        <w:rPr>
          <w:bCs/>
          <w:lang w:eastAsia="x-none"/>
        </w:rPr>
        <w:t>The bitmap is included in the UL DCI only if the RRC-configured TDRA table includes at least one row that allows indicating more than one PUSCH</w:t>
      </w:r>
    </w:p>
    <w:p w14:paraId="17BDF22E" w14:textId="77777777" w:rsidR="003606D7" w:rsidRDefault="003606D7" w:rsidP="00EE2927">
      <w:pPr>
        <w:pStyle w:val="BodyText"/>
        <w:jc w:val="both"/>
        <w:rPr>
          <w:rFonts w:asciiTheme="minorHAnsi" w:hAnsiTheme="minorHAnsi" w:cstheme="minorHAnsi"/>
        </w:rPr>
      </w:pPr>
    </w:p>
    <w:p w14:paraId="6B5EBF23" w14:textId="32699676" w:rsidR="008603FC" w:rsidRPr="008A0EB7" w:rsidRDefault="00A51C6E" w:rsidP="00EE2927">
      <w:pPr>
        <w:pStyle w:val="BodyText"/>
        <w:jc w:val="both"/>
        <w:rPr>
          <w:rFonts w:asciiTheme="minorHAnsi" w:hAnsiTheme="minorHAnsi" w:cstheme="minorHAnsi"/>
        </w:rPr>
      </w:pPr>
      <w:r w:rsidRPr="008A0EB7">
        <w:rPr>
          <w:rFonts w:asciiTheme="minorHAnsi" w:hAnsiTheme="minorHAnsi" w:cstheme="minorHAnsi"/>
        </w:rPr>
        <w:t xml:space="preserve">The first </w:t>
      </w:r>
      <w:r w:rsidR="00205BE9" w:rsidRPr="008A0EB7">
        <w:rPr>
          <w:rFonts w:asciiTheme="minorHAnsi" w:hAnsiTheme="minorHAnsi" w:cstheme="minorHAnsi"/>
        </w:rPr>
        <w:t xml:space="preserve">27 rows of the MCS index table specifies the modulation, </w:t>
      </w:r>
      <w:r w:rsidR="003831EE" w:rsidRPr="008A0EB7">
        <w:rPr>
          <w:rFonts w:asciiTheme="minorHAnsi" w:hAnsiTheme="minorHAnsi" w:cstheme="minorHAnsi"/>
        </w:rPr>
        <w:t xml:space="preserve">and </w:t>
      </w:r>
      <w:r w:rsidR="00205BE9" w:rsidRPr="008A0EB7">
        <w:rPr>
          <w:rFonts w:asciiTheme="minorHAnsi" w:hAnsiTheme="minorHAnsi" w:cstheme="minorHAnsi"/>
        </w:rPr>
        <w:t xml:space="preserve">coding. </w:t>
      </w:r>
      <w:r w:rsidR="003831EE" w:rsidRPr="008A0EB7">
        <w:rPr>
          <w:rFonts w:asciiTheme="minorHAnsi" w:hAnsiTheme="minorHAnsi" w:cstheme="minorHAnsi"/>
        </w:rPr>
        <w:t>In that case, t</w:t>
      </w:r>
      <w:r w:rsidR="00CD48EE" w:rsidRPr="008A0EB7">
        <w:rPr>
          <w:rFonts w:asciiTheme="minorHAnsi" w:hAnsiTheme="minorHAnsi" w:cstheme="minorHAnsi"/>
        </w:rPr>
        <w:t>he UE determines the TB size based on the</w:t>
      </w:r>
      <w:r w:rsidR="00EE619E" w:rsidRPr="008A0EB7">
        <w:rPr>
          <w:rFonts w:asciiTheme="minorHAnsi" w:hAnsiTheme="minorHAnsi" w:cstheme="minorHAnsi"/>
        </w:rPr>
        <w:t xml:space="preserve"> explicitly</w:t>
      </w:r>
      <w:r w:rsidR="00CD48EE" w:rsidRPr="008A0EB7">
        <w:rPr>
          <w:rFonts w:asciiTheme="minorHAnsi" w:hAnsiTheme="minorHAnsi" w:cstheme="minorHAnsi"/>
        </w:rPr>
        <w:t xml:space="preserve"> </w:t>
      </w:r>
      <w:r w:rsidR="00EE619E" w:rsidRPr="008A0EB7">
        <w:rPr>
          <w:rFonts w:asciiTheme="minorHAnsi" w:hAnsiTheme="minorHAnsi" w:cstheme="minorHAnsi"/>
        </w:rPr>
        <w:t>indicated</w:t>
      </w:r>
      <w:r w:rsidR="00CD48EE" w:rsidRPr="008A0EB7">
        <w:rPr>
          <w:rFonts w:asciiTheme="minorHAnsi" w:hAnsiTheme="minorHAnsi" w:cstheme="minorHAnsi"/>
        </w:rPr>
        <w:t xml:space="preserve"> MCS, number of </w:t>
      </w:r>
      <w:r w:rsidR="00404FDF" w:rsidRPr="008A0EB7">
        <w:rPr>
          <w:rFonts w:asciiTheme="minorHAnsi" w:hAnsiTheme="minorHAnsi" w:cstheme="minorHAnsi"/>
        </w:rPr>
        <w:t xml:space="preserve">scheduled resource RB, among other parameters. </w:t>
      </w:r>
      <w:r w:rsidR="008603FC" w:rsidRPr="008A0EB7">
        <w:rPr>
          <w:rFonts w:asciiTheme="minorHAnsi" w:hAnsiTheme="minorHAnsi" w:cstheme="minorHAnsi"/>
        </w:rPr>
        <w:t xml:space="preserve">If indicated in case of DCI scheduling a retransmission, the gNB needs to make sure </w:t>
      </w:r>
      <w:r w:rsidR="00BB3389" w:rsidRPr="008A0EB7">
        <w:rPr>
          <w:rFonts w:asciiTheme="minorHAnsi" w:hAnsiTheme="minorHAnsi" w:cstheme="minorHAnsi"/>
        </w:rPr>
        <w:t xml:space="preserve">that the provided </w:t>
      </w:r>
      <w:r w:rsidR="00363157" w:rsidRPr="008A0EB7">
        <w:rPr>
          <w:rFonts w:asciiTheme="minorHAnsi" w:hAnsiTheme="minorHAnsi" w:cstheme="minorHAnsi"/>
        </w:rPr>
        <w:t>parameters</w:t>
      </w:r>
      <w:r w:rsidR="00BB3389" w:rsidRPr="008A0EB7">
        <w:rPr>
          <w:rFonts w:asciiTheme="minorHAnsi" w:hAnsiTheme="minorHAnsi" w:cstheme="minorHAnsi"/>
        </w:rPr>
        <w:t xml:space="preserve"> provide the same TB size as the one indicated in the DCI scheduling the initial PUSCH. </w:t>
      </w:r>
    </w:p>
    <w:p w14:paraId="1DCD66D6" w14:textId="3D63AD87" w:rsidR="00633B8D" w:rsidRPr="008A0EB7" w:rsidRDefault="00EE619E" w:rsidP="00EE2927">
      <w:pPr>
        <w:pStyle w:val="BodyText"/>
        <w:jc w:val="both"/>
        <w:rPr>
          <w:rFonts w:asciiTheme="minorHAnsi" w:hAnsiTheme="minorHAnsi" w:cstheme="minorHAnsi"/>
        </w:rPr>
      </w:pPr>
      <w:r w:rsidRPr="008A0EB7">
        <w:rPr>
          <w:rFonts w:asciiTheme="minorHAnsi" w:hAnsiTheme="minorHAnsi" w:cstheme="minorHAnsi"/>
        </w:rPr>
        <w:t>Rows 28 to 31 are intended</w:t>
      </w:r>
      <w:r w:rsidR="00E66F30" w:rsidRPr="008A0EB7">
        <w:rPr>
          <w:rFonts w:asciiTheme="minorHAnsi" w:hAnsiTheme="minorHAnsi" w:cstheme="minorHAnsi"/>
        </w:rPr>
        <w:t xml:space="preserve"> for </w:t>
      </w:r>
      <w:r w:rsidR="007749DE" w:rsidRPr="008A0EB7">
        <w:rPr>
          <w:rFonts w:asciiTheme="minorHAnsi" w:hAnsiTheme="minorHAnsi" w:cstheme="minorHAnsi"/>
        </w:rPr>
        <w:t xml:space="preserve">scheduling </w:t>
      </w:r>
      <w:r w:rsidR="00E66F30" w:rsidRPr="008A0EB7">
        <w:rPr>
          <w:rFonts w:asciiTheme="minorHAnsi" w:hAnsiTheme="minorHAnsi" w:cstheme="minorHAnsi"/>
        </w:rPr>
        <w:t>retransmitted PUSCH</w:t>
      </w:r>
      <w:r w:rsidR="007749DE" w:rsidRPr="008A0EB7">
        <w:rPr>
          <w:rFonts w:asciiTheme="minorHAnsi" w:hAnsiTheme="minorHAnsi" w:cstheme="minorHAnsi"/>
        </w:rPr>
        <w:t xml:space="preserve"> and do not provide the modulation order or coding rate. If indicated, the UE refers to the DCI scheduling </w:t>
      </w:r>
      <w:r w:rsidR="008603FC" w:rsidRPr="008A0EB7">
        <w:rPr>
          <w:rFonts w:asciiTheme="minorHAnsi" w:hAnsiTheme="minorHAnsi" w:cstheme="minorHAnsi"/>
        </w:rPr>
        <w:t xml:space="preserve">the initial </w:t>
      </w:r>
      <w:r w:rsidR="00363157" w:rsidRPr="008A0EB7">
        <w:rPr>
          <w:rFonts w:asciiTheme="minorHAnsi" w:hAnsiTheme="minorHAnsi" w:cstheme="minorHAnsi"/>
        </w:rPr>
        <w:t xml:space="preserve">PUSCH to determine the TB size. </w:t>
      </w:r>
    </w:p>
    <w:p w14:paraId="4DAAA8BC" w14:textId="76DB4DB4" w:rsidR="000D479F" w:rsidRPr="00EE2927" w:rsidRDefault="00363157" w:rsidP="00EE2927">
      <w:pPr>
        <w:pStyle w:val="BodyText"/>
        <w:jc w:val="both"/>
        <w:rPr>
          <w:rFonts w:asciiTheme="minorHAnsi" w:hAnsiTheme="minorHAnsi" w:cstheme="minorHAnsi"/>
        </w:rPr>
      </w:pPr>
      <w:r w:rsidRPr="00FC332D">
        <w:rPr>
          <w:rFonts w:asciiTheme="minorHAnsi" w:hAnsiTheme="minorHAnsi" w:cstheme="minorHAnsi"/>
        </w:rPr>
        <w:t xml:space="preserve">In our view, the same </w:t>
      </w:r>
      <w:r w:rsidRPr="00B456CC">
        <w:rPr>
          <w:rFonts w:asciiTheme="minorHAnsi" w:hAnsiTheme="minorHAnsi" w:cstheme="minorHAnsi"/>
        </w:rPr>
        <w:t xml:space="preserve">procedure should be followed even in case of </w:t>
      </w:r>
      <w:r w:rsidR="00ED202F" w:rsidRPr="00B456CC">
        <w:rPr>
          <w:rFonts w:asciiTheme="minorHAnsi" w:hAnsiTheme="minorHAnsi" w:cstheme="minorHAnsi"/>
        </w:rPr>
        <w:t xml:space="preserve">DCI scheduling multi-PUSCH. The same MCS </w:t>
      </w:r>
      <w:r w:rsidR="00B44816" w:rsidRPr="00B456CC">
        <w:rPr>
          <w:rFonts w:asciiTheme="minorHAnsi" w:hAnsiTheme="minorHAnsi" w:cstheme="minorHAnsi"/>
        </w:rPr>
        <w:t xml:space="preserve">value is assumed for all the scheduled PUSCH. </w:t>
      </w:r>
      <w:r w:rsidR="002051C3" w:rsidRPr="00B456CC">
        <w:rPr>
          <w:rFonts w:asciiTheme="minorHAnsi" w:hAnsiTheme="minorHAnsi" w:cstheme="minorHAnsi"/>
        </w:rPr>
        <w:t>[</w:t>
      </w:r>
      <w:r w:rsidR="00AD0251">
        <w:rPr>
          <w:rFonts w:asciiTheme="minorHAnsi" w:hAnsiTheme="minorHAnsi" w:cstheme="minorHAnsi"/>
        </w:rPr>
        <w:t>3</w:t>
      </w:r>
      <w:r w:rsidR="002051C3" w:rsidRPr="00B456CC">
        <w:rPr>
          <w:rFonts w:asciiTheme="minorHAnsi" w:hAnsiTheme="minorHAnsi" w:cstheme="minorHAnsi"/>
        </w:rPr>
        <w:t xml:space="preserve">] argues that </w:t>
      </w:r>
      <w:r w:rsidR="0091234C" w:rsidRPr="00B456CC">
        <w:rPr>
          <w:rFonts w:asciiTheme="minorHAnsi" w:hAnsiTheme="minorHAnsi" w:cstheme="minorHAnsi"/>
        </w:rPr>
        <w:t>choos</w:t>
      </w:r>
      <w:r w:rsidR="00236DC7" w:rsidRPr="00B456CC">
        <w:rPr>
          <w:rFonts w:asciiTheme="minorHAnsi" w:hAnsiTheme="minorHAnsi" w:cstheme="minorHAnsi"/>
        </w:rPr>
        <w:t>ing</w:t>
      </w:r>
      <w:r w:rsidR="0091234C" w:rsidRPr="00B456CC">
        <w:rPr>
          <w:rFonts w:asciiTheme="minorHAnsi" w:hAnsiTheme="minorHAnsi" w:cstheme="minorHAnsi"/>
        </w:rPr>
        <w:t xml:space="preserve"> the common explicit MCS</w:t>
      </w:r>
      <w:r w:rsidR="00DD0466" w:rsidRPr="00B456CC">
        <w:rPr>
          <w:rFonts w:asciiTheme="minorHAnsi" w:hAnsiTheme="minorHAnsi" w:cstheme="minorHAnsi"/>
        </w:rPr>
        <w:t xml:space="preserve"> (i.e. 0 to 27)</w:t>
      </w:r>
      <w:r w:rsidR="0091234C" w:rsidRPr="00B456CC">
        <w:rPr>
          <w:rFonts w:asciiTheme="minorHAnsi" w:hAnsiTheme="minorHAnsi" w:cstheme="minorHAnsi"/>
        </w:rPr>
        <w:t xml:space="preserve"> and RBs for all PUSCHs just for the purpose of resulting</w:t>
      </w:r>
      <w:r w:rsidR="0091234C" w:rsidRPr="00EE2927">
        <w:rPr>
          <w:rFonts w:asciiTheme="minorHAnsi" w:hAnsiTheme="minorHAnsi" w:cstheme="minorHAnsi"/>
        </w:rPr>
        <w:t xml:space="preserve"> in the same TBS as the initial transmission for the second PUSC</w:t>
      </w:r>
      <w:r w:rsidR="00236DC7" w:rsidRPr="00EE2927">
        <w:rPr>
          <w:rFonts w:asciiTheme="minorHAnsi" w:hAnsiTheme="minorHAnsi" w:cstheme="minorHAnsi"/>
        </w:rPr>
        <w:t>H</w:t>
      </w:r>
      <w:r w:rsidR="0091234C" w:rsidRPr="00EE2927">
        <w:rPr>
          <w:rFonts w:asciiTheme="minorHAnsi" w:hAnsiTheme="minorHAnsi" w:cstheme="minorHAnsi"/>
        </w:rPr>
        <w:t xml:space="preserve">, this will reduce the scheduling flexibility to a great extent. </w:t>
      </w:r>
      <w:r w:rsidR="00592D2C" w:rsidRPr="00EE2927">
        <w:rPr>
          <w:rFonts w:asciiTheme="minorHAnsi" w:hAnsiTheme="minorHAnsi" w:cstheme="minorHAnsi"/>
        </w:rPr>
        <w:t xml:space="preserve">It is true that the same frequency allocation is </w:t>
      </w:r>
      <w:r w:rsidR="00B34AA4" w:rsidRPr="00EE2927">
        <w:rPr>
          <w:rFonts w:asciiTheme="minorHAnsi" w:hAnsiTheme="minorHAnsi" w:cstheme="minorHAnsi"/>
        </w:rPr>
        <w:t xml:space="preserve">used for all the scheduled PUSCH. </w:t>
      </w:r>
      <w:r w:rsidR="00C12EFE" w:rsidRPr="00EE2927">
        <w:rPr>
          <w:rFonts w:asciiTheme="minorHAnsi" w:hAnsiTheme="minorHAnsi" w:cstheme="minorHAnsi"/>
        </w:rPr>
        <w:t xml:space="preserve">However, it is not accurate to assume that the gNB has to schedule all </w:t>
      </w:r>
      <w:r w:rsidR="007E68ED" w:rsidRPr="00EE2927">
        <w:rPr>
          <w:rFonts w:asciiTheme="minorHAnsi" w:hAnsiTheme="minorHAnsi" w:cstheme="minorHAnsi"/>
        </w:rPr>
        <w:t xml:space="preserve">PUSCH </w:t>
      </w:r>
      <w:r w:rsidR="00592D2C" w:rsidRPr="00EE2927">
        <w:rPr>
          <w:rFonts w:asciiTheme="minorHAnsi" w:hAnsiTheme="minorHAnsi" w:cstheme="minorHAnsi"/>
        </w:rPr>
        <w:t>with the same TDRA.</w:t>
      </w:r>
      <w:r w:rsidR="00B34AA4" w:rsidRPr="00EE2927">
        <w:rPr>
          <w:rFonts w:asciiTheme="minorHAnsi" w:hAnsiTheme="minorHAnsi" w:cstheme="minorHAnsi"/>
        </w:rPr>
        <w:t xml:space="preserve"> Alternative </w:t>
      </w:r>
      <w:r w:rsidR="006B5903">
        <w:rPr>
          <w:rFonts w:asciiTheme="minorHAnsi" w:hAnsiTheme="minorHAnsi" w:cstheme="minorHAnsi"/>
        </w:rPr>
        <w:t>1</w:t>
      </w:r>
      <w:r w:rsidR="006B5903" w:rsidRPr="00EE2927">
        <w:rPr>
          <w:rFonts w:asciiTheme="minorHAnsi" w:hAnsiTheme="minorHAnsi" w:cstheme="minorHAnsi"/>
        </w:rPr>
        <w:t xml:space="preserve"> </w:t>
      </w:r>
      <w:r w:rsidR="00B34AA4" w:rsidRPr="00EE2927">
        <w:rPr>
          <w:rFonts w:asciiTheme="minorHAnsi" w:hAnsiTheme="minorHAnsi" w:cstheme="minorHAnsi"/>
        </w:rPr>
        <w:t xml:space="preserve">discussed </w:t>
      </w:r>
      <w:r w:rsidR="00D212CE" w:rsidRPr="00EE2927">
        <w:rPr>
          <w:rFonts w:asciiTheme="minorHAnsi" w:hAnsiTheme="minorHAnsi" w:cstheme="minorHAnsi"/>
        </w:rPr>
        <w:t xml:space="preserve">in previous section </w:t>
      </w:r>
      <w:r w:rsidR="00882115" w:rsidRPr="00EE2927">
        <w:rPr>
          <w:rFonts w:asciiTheme="minorHAnsi" w:hAnsiTheme="minorHAnsi" w:cstheme="minorHAnsi"/>
        </w:rPr>
        <w:t>enables the flexibility of having PUSCH of different length</w:t>
      </w:r>
      <w:r w:rsidR="00294084" w:rsidRPr="00EE2927">
        <w:rPr>
          <w:rFonts w:asciiTheme="minorHAnsi" w:hAnsiTheme="minorHAnsi" w:cstheme="minorHAnsi"/>
        </w:rPr>
        <w:t xml:space="preserve">. </w:t>
      </w:r>
    </w:p>
    <w:p w14:paraId="27181B2D" w14:textId="7EECFDDE" w:rsidR="000D479F" w:rsidRDefault="000D479F" w:rsidP="00EE2927">
      <w:pPr>
        <w:pStyle w:val="BodyText"/>
        <w:jc w:val="both"/>
        <w:rPr>
          <w:rFonts w:asciiTheme="minorHAnsi" w:hAnsiTheme="minorHAnsi" w:cstheme="minorHAnsi"/>
        </w:rPr>
      </w:pPr>
      <w:r w:rsidRPr="00EE2927">
        <w:rPr>
          <w:rFonts w:asciiTheme="minorHAnsi" w:hAnsiTheme="minorHAnsi" w:cstheme="minorHAnsi"/>
        </w:rPr>
        <w:t>Having the flexibility to select different PUSCH length, provide a mechanism to match the TB size of retransmitted PUSCH to the initial transmission, while not adding restrictions to the newly scheduled initial PUSCHs</w:t>
      </w:r>
      <w:r w:rsidR="00C46883">
        <w:rPr>
          <w:rFonts w:asciiTheme="minorHAnsi" w:hAnsiTheme="minorHAnsi" w:cstheme="minorHAnsi"/>
        </w:rPr>
        <w:t xml:space="preserve">. </w:t>
      </w:r>
    </w:p>
    <w:p w14:paraId="64D43D0F" w14:textId="1BEB7317" w:rsidR="00C46883" w:rsidRPr="002422CF" w:rsidRDefault="00102951" w:rsidP="00EE2927">
      <w:pPr>
        <w:pStyle w:val="BodyText"/>
        <w:jc w:val="both"/>
        <w:rPr>
          <w:rFonts w:asciiTheme="minorHAnsi" w:hAnsiTheme="minorHAnsi" w:cstheme="minorHAnsi"/>
        </w:rPr>
      </w:pPr>
      <w:r>
        <w:rPr>
          <w:rFonts w:asciiTheme="minorHAnsi" w:hAnsiTheme="minorHAnsi" w:cstheme="minorHAnsi"/>
        </w:rPr>
        <w:t xml:space="preserve">In principle, </w:t>
      </w:r>
      <w:r w:rsidR="00A430E4">
        <w:rPr>
          <w:rFonts w:asciiTheme="minorHAnsi" w:hAnsiTheme="minorHAnsi" w:cstheme="minorHAnsi"/>
        </w:rPr>
        <w:t xml:space="preserve">we support </w:t>
      </w:r>
      <w:r w:rsidR="002529EC">
        <w:rPr>
          <w:rFonts w:asciiTheme="minorHAnsi" w:hAnsiTheme="minorHAnsi" w:cstheme="minorHAnsi"/>
        </w:rPr>
        <w:t xml:space="preserve">alternative </w:t>
      </w:r>
      <w:r w:rsidR="00A91161">
        <w:rPr>
          <w:rFonts w:asciiTheme="minorHAnsi" w:hAnsiTheme="minorHAnsi" w:cstheme="minorHAnsi"/>
        </w:rPr>
        <w:t>1</w:t>
      </w:r>
      <w:r w:rsidR="002529EC">
        <w:rPr>
          <w:rFonts w:asciiTheme="minorHAnsi" w:hAnsiTheme="minorHAnsi" w:cstheme="minorHAnsi"/>
        </w:rPr>
        <w:t xml:space="preserve"> </w:t>
      </w:r>
      <w:r w:rsidR="00A430E4">
        <w:rPr>
          <w:rFonts w:asciiTheme="minorHAnsi" w:hAnsiTheme="minorHAnsi" w:cstheme="minorHAnsi"/>
        </w:rPr>
        <w:t xml:space="preserve">which </w:t>
      </w:r>
      <w:r w:rsidR="002529EC">
        <w:rPr>
          <w:rFonts w:asciiTheme="minorHAnsi" w:hAnsiTheme="minorHAnsi" w:cstheme="minorHAnsi"/>
        </w:rPr>
        <w:t xml:space="preserve">provides more robustness as compared to alternative 1 </w:t>
      </w:r>
      <w:r w:rsidR="00A430E4">
        <w:rPr>
          <w:rFonts w:asciiTheme="minorHAnsi" w:hAnsiTheme="minorHAnsi" w:cstheme="minorHAnsi"/>
        </w:rPr>
        <w:t xml:space="preserve">in case the initial DCI was missed by the UE. </w:t>
      </w:r>
    </w:p>
    <w:p w14:paraId="069C476C" w14:textId="77777777" w:rsidR="001F2F2F" w:rsidRPr="002422CF" w:rsidRDefault="001F2F2F" w:rsidP="001F2F2F">
      <w:pPr>
        <w:pStyle w:val="Proposal"/>
      </w:pPr>
      <w:bookmarkStart w:id="434" w:name="_Toc24038289"/>
      <w:bookmarkStart w:id="435" w:name="_Toc24123767"/>
      <w:bookmarkStart w:id="436" w:name="_Toc24123858"/>
      <w:r w:rsidRPr="002422CF">
        <w:t>A single MCS index is signalled for all the PUSCHs scheduled by a single DCI</w:t>
      </w:r>
      <w:bookmarkEnd w:id="434"/>
      <w:bookmarkEnd w:id="435"/>
      <w:bookmarkEnd w:id="436"/>
    </w:p>
    <w:p w14:paraId="346CB38E" w14:textId="77777777" w:rsidR="001F2F2F" w:rsidRPr="002422CF" w:rsidRDefault="001F2F2F" w:rsidP="002422CF">
      <w:pPr>
        <w:pStyle w:val="Proposal"/>
        <w:numPr>
          <w:ilvl w:val="1"/>
          <w:numId w:val="2"/>
        </w:numPr>
      </w:pPr>
      <w:bookmarkStart w:id="437" w:name="_Toc24038290"/>
      <w:bookmarkStart w:id="438" w:name="_Toc24123768"/>
      <w:bookmarkStart w:id="439" w:name="_Toc24123859"/>
      <w:r w:rsidRPr="002422CF">
        <w:t>UE applies the same behaviour for the PUSCHs scheduled for initial transmission or re-transmission (Rel-15 behaviour):</w:t>
      </w:r>
      <w:bookmarkEnd w:id="437"/>
      <w:bookmarkEnd w:id="438"/>
      <w:bookmarkEnd w:id="439"/>
    </w:p>
    <w:p w14:paraId="493126B4" w14:textId="77777777" w:rsidR="001F2F2F" w:rsidRPr="002422CF" w:rsidRDefault="001F2F2F" w:rsidP="002422CF">
      <w:pPr>
        <w:pStyle w:val="Proposal"/>
        <w:numPr>
          <w:ilvl w:val="2"/>
          <w:numId w:val="2"/>
        </w:numPr>
      </w:pPr>
      <w:bookmarkStart w:id="440" w:name="_Toc24038291"/>
      <w:bookmarkStart w:id="441" w:name="_Toc24123769"/>
      <w:bookmarkStart w:id="442" w:name="_Toc24123860"/>
      <w:r w:rsidRPr="002422CF">
        <w:lastRenderedPageBreak/>
        <w:t>If MCS row 0-27 is indicated: the UE determines the TB size based on the explicitly indicated MCS</w:t>
      </w:r>
      <w:bookmarkEnd w:id="440"/>
      <w:bookmarkEnd w:id="441"/>
      <w:bookmarkEnd w:id="442"/>
    </w:p>
    <w:p w14:paraId="02C5E02C" w14:textId="15F18E06" w:rsidR="00D575BE" w:rsidRPr="008B13DF" w:rsidRDefault="001F2F2F" w:rsidP="002422CF">
      <w:pPr>
        <w:pStyle w:val="Proposal"/>
        <w:numPr>
          <w:ilvl w:val="2"/>
          <w:numId w:val="2"/>
        </w:numPr>
      </w:pPr>
      <w:bookmarkStart w:id="443" w:name="_Toc24038292"/>
      <w:bookmarkStart w:id="444" w:name="_Toc24123770"/>
      <w:bookmarkStart w:id="445" w:name="_Toc24123861"/>
      <w:r w:rsidRPr="002422CF">
        <w:t>If MCS row 28-31 is indicated: the UE refers to the DCI scheduling the initial PUSCH to determine the TB size</w:t>
      </w:r>
      <w:bookmarkEnd w:id="443"/>
      <w:bookmarkEnd w:id="444"/>
      <w:bookmarkEnd w:id="445"/>
    </w:p>
    <w:p w14:paraId="76A5001D" w14:textId="54F51781" w:rsidR="006E1C82" w:rsidRPr="005045A9" w:rsidRDefault="00C01F33" w:rsidP="00080E05">
      <w:pPr>
        <w:pStyle w:val="Heading1"/>
        <w:rPr>
          <w:rFonts w:asciiTheme="minorHAnsi" w:hAnsiTheme="minorHAnsi" w:cstheme="minorHAnsi"/>
        </w:rPr>
      </w:pPr>
      <w:bookmarkStart w:id="446" w:name="_Toc4702942"/>
      <w:bookmarkEnd w:id="0"/>
      <w:bookmarkEnd w:id="336"/>
      <w:bookmarkEnd w:id="337"/>
      <w:bookmarkEnd w:id="446"/>
      <w:r w:rsidRPr="005045A9">
        <w:rPr>
          <w:rFonts w:asciiTheme="minorHAnsi" w:hAnsiTheme="minorHAnsi" w:cstheme="minorHAnsi"/>
        </w:rPr>
        <w:t>Conclusion</w:t>
      </w:r>
    </w:p>
    <w:p w14:paraId="04C560DF" w14:textId="77777777" w:rsidR="00650B70" w:rsidRDefault="00650B70" w:rsidP="009F26A7">
      <w:pPr>
        <w:pStyle w:val="BodyText"/>
        <w:rPr>
          <w:rFonts w:asciiTheme="minorHAnsi" w:hAnsiTheme="minorHAnsi" w:cstheme="minorHAnsi"/>
          <w:b/>
        </w:rPr>
      </w:pPr>
    </w:p>
    <w:p w14:paraId="6D1C80E5" w14:textId="3836734B" w:rsidR="00F20A10" w:rsidRPr="008A0EB7" w:rsidRDefault="00F20A10" w:rsidP="009F26A7">
      <w:pPr>
        <w:pStyle w:val="BodyText"/>
        <w:rPr>
          <w:rFonts w:asciiTheme="minorHAnsi" w:hAnsiTheme="minorHAnsi" w:cstheme="minorHAnsi"/>
        </w:rPr>
      </w:pPr>
      <w:r w:rsidRPr="008A0EB7">
        <w:rPr>
          <w:rFonts w:asciiTheme="minorHAnsi" w:hAnsiTheme="minorHAnsi" w:cstheme="minorHAnsi"/>
        </w:rPr>
        <w:t>Based on the discussion in this paper we make the following proposals:</w:t>
      </w:r>
    </w:p>
    <w:p w14:paraId="3E893EE5" w14:textId="77777777" w:rsidR="0015023B" w:rsidRDefault="00F20A10">
      <w:pPr>
        <w:pStyle w:val="TableofFigures"/>
        <w:tabs>
          <w:tab w:val="right" w:leader="dot" w:pos="9629"/>
        </w:tabs>
        <w:rPr>
          <w:rFonts w:asciiTheme="minorHAnsi" w:eastAsiaTheme="minorEastAsia" w:hAnsiTheme="minorHAnsi"/>
          <w:b w:val="0"/>
          <w:noProof/>
          <w:lang w:val="en-150" w:eastAsia="en-150"/>
        </w:rPr>
      </w:pPr>
      <w:r>
        <w:rPr>
          <w:rFonts w:asciiTheme="minorHAnsi" w:hAnsiTheme="minorHAnsi" w:cstheme="minorHAnsi"/>
          <w:b w:val="0"/>
          <w:bCs/>
        </w:rPr>
        <w:fldChar w:fldCharType="begin"/>
      </w:r>
      <w:r w:rsidRPr="008A0EB7">
        <w:rPr>
          <w:rFonts w:asciiTheme="minorHAnsi" w:hAnsiTheme="minorHAnsi" w:cstheme="minorHAnsi"/>
          <w:b w:val="0"/>
          <w:bCs/>
        </w:rPr>
        <w:instrText xml:space="preserve"> TOC \n \p " " \t "Proposal" \c </w:instrText>
      </w:r>
      <w:r>
        <w:rPr>
          <w:rFonts w:asciiTheme="minorHAnsi" w:hAnsiTheme="minorHAnsi" w:cstheme="minorHAnsi"/>
          <w:b w:val="0"/>
          <w:bCs/>
        </w:rPr>
        <w:fldChar w:fldCharType="separate"/>
      </w:r>
      <w:bookmarkStart w:id="447" w:name="_GoBack"/>
      <w:bookmarkEnd w:id="447"/>
      <w:r w:rsidR="0015023B">
        <w:rPr>
          <w:noProof/>
        </w:rPr>
        <w:t>Proposal 1</w:t>
      </w:r>
      <w:r w:rsidR="0015023B">
        <w:rPr>
          <w:rFonts w:asciiTheme="minorHAnsi" w:eastAsiaTheme="minorEastAsia" w:hAnsiTheme="minorHAnsi"/>
          <w:b w:val="0"/>
          <w:noProof/>
          <w:lang w:val="en-150" w:eastAsia="en-150"/>
        </w:rPr>
        <w:tab/>
      </w:r>
      <w:r w:rsidR="0015023B">
        <w:rPr>
          <w:noProof/>
        </w:rPr>
        <w:t>DCIs for scheduling PDSCH should support larger DAI field as compared to Rel-15 NR DCI.</w:t>
      </w:r>
    </w:p>
    <w:p w14:paraId="323E9F0C" w14:textId="77777777" w:rsidR="0015023B" w:rsidRDefault="0015023B">
      <w:pPr>
        <w:pStyle w:val="TableofFigures"/>
        <w:tabs>
          <w:tab w:val="right" w:leader="dot" w:pos="9629"/>
        </w:tabs>
        <w:rPr>
          <w:rFonts w:asciiTheme="minorHAnsi" w:eastAsiaTheme="minorEastAsia" w:hAnsiTheme="minorHAnsi"/>
          <w:b w:val="0"/>
          <w:noProof/>
          <w:lang w:val="en-150" w:eastAsia="en-150"/>
        </w:rPr>
      </w:pPr>
      <w:r>
        <w:rPr>
          <w:noProof/>
        </w:rPr>
        <w:t>Proposal 2</w:t>
      </w:r>
      <w:r>
        <w:rPr>
          <w:rFonts w:asciiTheme="minorHAnsi" w:eastAsiaTheme="minorEastAsia" w:hAnsiTheme="minorHAnsi"/>
          <w:b w:val="0"/>
          <w:noProof/>
          <w:lang w:val="en-150" w:eastAsia="en-150"/>
        </w:rPr>
        <w:tab/>
      </w:r>
      <w:r>
        <w:rPr>
          <w:noProof/>
        </w:rPr>
        <w:t>For dynamic codebook, HARQ-ACK timing for a PDSCH scheduled with a non-numerical value for K1 is derived by the next DL DCI scheduling PDSCH with a numerical value for K1.</w:t>
      </w:r>
    </w:p>
    <w:p w14:paraId="2768709E" w14:textId="77777777" w:rsidR="0015023B" w:rsidRDefault="0015023B">
      <w:pPr>
        <w:pStyle w:val="TableofFigures"/>
        <w:tabs>
          <w:tab w:val="right" w:leader="dot" w:pos="9629"/>
        </w:tabs>
        <w:rPr>
          <w:rFonts w:asciiTheme="minorHAnsi" w:eastAsiaTheme="minorEastAsia" w:hAnsiTheme="minorHAnsi"/>
          <w:b w:val="0"/>
          <w:noProof/>
          <w:lang w:val="en-150" w:eastAsia="en-150"/>
        </w:rPr>
      </w:pPr>
      <w:r>
        <w:rPr>
          <w:noProof/>
        </w:rPr>
        <w:t>Proposal 3</w:t>
      </w:r>
      <w:r>
        <w:rPr>
          <w:rFonts w:asciiTheme="minorHAnsi" w:eastAsiaTheme="minorEastAsia" w:hAnsiTheme="minorHAnsi"/>
          <w:b w:val="0"/>
          <w:noProof/>
          <w:lang w:val="en-150" w:eastAsia="en-150"/>
        </w:rPr>
        <w:tab/>
      </w:r>
      <w:r>
        <w:rPr>
          <w:noProof/>
        </w:rPr>
        <w:t>The C/T-DAI value for the first PDSCH with a valid PDSCH-to-HARQ-timing-indicator counts also the previous PDSCH(s) with non-numerical PDSCH-to-HARQ-timing-indicator since the last PDSCH with valid PDSCH-to-HARQ-timing-indicator.</w:t>
      </w:r>
    </w:p>
    <w:p w14:paraId="6CB52E65" w14:textId="77777777" w:rsidR="0015023B" w:rsidRDefault="0015023B">
      <w:pPr>
        <w:pStyle w:val="TableofFigures"/>
        <w:tabs>
          <w:tab w:val="right" w:leader="dot" w:pos="9629"/>
        </w:tabs>
        <w:rPr>
          <w:rFonts w:asciiTheme="minorHAnsi" w:eastAsiaTheme="minorEastAsia" w:hAnsiTheme="minorHAnsi"/>
          <w:b w:val="0"/>
          <w:noProof/>
          <w:lang w:val="en-150" w:eastAsia="en-150"/>
        </w:rPr>
      </w:pPr>
      <w:r>
        <w:rPr>
          <w:noProof/>
          <w:lang w:eastAsia="x-none"/>
        </w:rPr>
        <w:t>Proposal 4</w:t>
      </w:r>
      <w:r>
        <w:rPr>
          <w:rFonts w:asciiTheme="minorHAnsi" w:eastAsiaTheme="minorEastAsia" w:hAnsiTheme="minorHAnsi"/>
          <w:b w:val="0"/>
          <w:noProof/>
          <w:lang w:val="en-150" w:eastAsia="en-150"/>
        </w:rPr>
        <w:tab/>
      </w:r>
      <w:r>
        <w:rPr>
          <w:noProof/>
          <w:lang w:eastAsia="x-none"/>
        </w:rPr>
        <w:t>For enhanced dynamic HARQ-ACK codebook, when more than one PDSCH group exists in a HARQ-ACK feedback report, the placement of HARQ-ACK feedback for the two groups is ordered based on increasing group index.</w:t>
      </w:r>
    </w:p>
    <w:p w14:paraId="7DC1C017" w14:textId="77777777" w:rsidR="0015023B" w:rsidRDefault="0015023B">
      <w:pPr>
        <w:pStyle w:val="TableofFigures"/>
        <w:tabs>
          <w:tab w:val="right" w:leader="dot" w:pos="9629"/>
        </w:tabs>
        <w:rPr>
          <w:rFonts w:asciiTheme="minorHAnsi" w:eastAsiaTheme="minorEastAsia" w:hAnsiTheme="minorHAnsi"/>
          <w:b w:val="0"/>
          <w:noProof/>
          <w:lang w:val="en-150" w:eastAsia="en-150"/>
        </w:rPr>
      </w:pPr>
      <w:r>
        <w:rPr>
          <w:noProof/>
        </w:rPr>
        <w:t>Proposal 5</w:t>
      </w:r>
      <w:r>
        <w:rPr>
          <w:rFonts w:asciiTheme="minorHAnsi" w:eastAsiaTheme="minorEastAsia" w:hAnsiTheme="minorHAnsi"/>
          <w:b w:val="0"/>
          <w:noProof/>
          <w:lang w:val="en-150" w:eastAsia="en-150"/>
        </w:rPr>
        <w:tab/>
      </w:r>
      <w:r>
        <w:rPr>
          <w:noProof/>
          <w:lang w:eastAsia="x-none"/>
        </w:rPr>
        <w:t>NFI is not introduced in DCI 1_0.</w:t>
      </w:r>
    </w:p>
    <w:p w14:paraId="0CF325AC" w14:textId="77777777" w:rsidR="0015023B" w:rsidRDefault="0015023B">
      <w:pPr>
        <w:pStyle w:val="TableofFigures"/>
        <w:tabs>
          <w:tab w:val="right" w:leader="dot" w:pos="9629"/>
        </w:tabs>
        <w:rPr>
          <w:rFonts w:asciiTheme="minorHAnsi" w:eastAsiaTheme="minorEastAsia" w:hAnsiTheme="minorHAnsi"/>
          <w:b w:val="0"/>
          <w:noProof/>
          <w:lang w:val="en-150" w:eastAsia="en-150"/>
        </w:rPr>
      </w:pPr>
      <w:r>
        <w:rPr>
          <w:noProof/>
          <w:lang w:eastAsia="x-none"/>
        </w:rPr>
        <w:t>Proposal 6</w:t>
      </w:r>
      <w:r>
        <w:rPr>
          <w:rFonts w:asciiTheme="minorHAnsi" w:eastAsiaTheme="minorEastAsia" w:hAnsiTheme="minorHAnsi"/>
          <w:b w:val="0"/>
          <w:noProof/>
          <w:lang w:val="en-150" w:eastAsia="en-150"/>
        </w:rPr>
        <w:tab/>
      </w:r>
      <w:r>
        <w:rPr>
          <w:noProof/>
          <w:lang w:eastAsia="x-none"/>
        </w:rPr>
        <w:t>The gNB can not indicate retransmission of feedback using DCI 1_0.</w:t>
      </w:r>
    </w:p>
    <w:p w14:paraId="66F8FFF0" w14:textId="77777777" w:rsidR="0015023B" w:rsidRDefault="0015023B">
      <w:pPr>
        <w:pStyle w:val="TableofFigures"/>
        <w:tabs>
          <w:tab w:val="right" w:leader="dot" w:pos="9629"/>
        </w:tabs>
        <w:rPr>
          <w:rFonts w:asciiTheme="minorHAnsi" w:eastAsiaTheme="minorEastAsia" w:hAnsiTheme="minorHAnsi"/>
          <w:b w:val="0"/>
          <w:noProof/>
          <w:lang w:val="en-150" w:eastAsia="en-150"/>
        </w:rPr>
      </w:pPr>
      <w:r>
        <w:rPr>
          <w:noProof/>
          <w:lang w:eastAsia="x-none"/>
        </w:rPr>
        <w:t>a.</w:t>
      </w:r>
      <w:r>
        <w:rPr>
          <w:rFonts w:asciiTheme="minorHAnsi" w:eastAsiaTheme="minorEastAsia" w:hAnsiTheme="minorHAnsi"/>
          <w:b w:val="0"/>
          <w:noProof/>
          <w:lang w:val="en-150" w:eastAsia="en-150"/>
        </w:rPr>
        <w:tab/>
      </w:r>
      <w:r>
        <w:rPr>
          <w:noProof/>
          <w:lang w:eastAsia="x-none"/>
        </w:rPr>
        <w:t>If the UE detects a DCI that indicates an NFI corresponding to group 0 since the last scheduled PUCCH that includes feedback for group 0 and before the PUCCH occasion that includes feedback corresponding to PDSCH scheduled with the fallback DCI, the UE follows the indicated NFI to determine the codebook.</w:t>
      </w:r>
    </w:p>
    <w:p w14:paraId="797F8CD3" w14:textId="77777777" w:rsidR="0015023B" w:rsidRDefault="0015023B">
      <w:pPr>
        <w:pStyle w:val="TableofFigures"/>
        <w:tabs>
          <w:tab w:val="right" w:leader="dot" w:pos="9629"/>
        </w:tabs>
        <w:rPr>
          <w:rFonts w:asciiTheme="minorHAnsi" w:eastAsiaTheme="minorEastAsia" w:hAnsiTheme="minorHAnsi"/>
          <w:b w:val="0"/>
          <w:noProof/>
          <w:lang w:val="en-150" w:eastAsia="en-150"/>
        </w:rPr>
      </w:pPr>
      <w:r>
        <w:rPr>
          <w:noProof/>
          <w:lang w:eastAsia="x-none"/>
        </w:rPr>
        <w:t>b.</w:t>
      </w:r>
      <w:r>
        <w:rPr>
          <w:rFonts w:asciiTheme="minorHAnsi" w:eastAsiaTheme="minorEastAsia" w:hAnsiTheme="minorHAnsi"/>
          <w:b w:val="0"/>
          <w:noProof/>
          <w:lang w:val="en-150" w:eastAsia="en-150"/>
        </w:rPr>
        <w:tab/>
      </w:r>
      <w:r>
        <w:rPr>
          <w:noProof/>
          <w:lang w:eastAsia="x-none"/>
        </w:rPr>
        <w:t>If the UE does not detect a DCI that indicates an NFI corresponding to group 0 since the last scheduled PUCCH that includes feedback for group 0 and before the PUCCH occasion that includes feedback corresponding to PDSCH scheduled with the fallback DCI, the UE assumes that the NFI is toggled.</w:t>
      </w:r>
    </w:p>
    <w:p w14:paraId="2D4A7769" w14:textId="77777777" w:rsidR="0015023B" w:rsidRDefault="0015023B">
      <w:pPr>
        <w:pStyle w:val="TableofFigures"/>
        <w:tabs>
          <w:tab w:val="right" w:leader="dot" w:pos="9629"/>
        </w:tabs>
        <w:rPr>
          <w:rFonts w:asciiTheme="minorHAnsi" w:eastAsiaTheme="minorEastAsia" w:hAnsiTheme="minorHAnsi"/>
          <w:b w:val="0"/>
          <w:noProof/>
          <w:lang w:val="en-150" w:eastAsia="en-150"/>
        </w:rPr>
      </w:pPr>
      <w:r>
        <w:rPr>
          <w:noProof/>
        </w:rPr>
        <w:t>Proposal 7</w:t>
      </w:r>
      <w:r>
        <w:rPr>
          <w:rFonts w:asciiTheme="minorHAnsi" w:eastAsiaTheme="minorEastAsia" w:hAnsiTheme="minorHAnsi"/>
          <w:b w:val="0"/>
          <w:noProof/>
          <w:lang w:val="en-150" w:eastAsia="en-150"/>
        </w:rPr>
        <w:tab/>
      </w:r>
      <w:r w:rsidRPr="00B521AF">
        <w:rPr>
          <w:rFonts w:cstheme="minorHAnsi"/>
          <w:noProof/>
        </w:rPr>
        <w:t>If enhanced dynamic codebook is configured and the presence of UL DAI for an additional PDSCH group is not configured</w:t>
      </w:r>
      <w:r>
        <w:rPr>
          <w:noProof/>
        </w:rPr>
        <w:t>, the existing DAI, should reflect status of each latest DL total DAI of the latest transmitted group that is included in the HARQ-ACK report.</w:t>
      </w:r>
    </w:p>
    <w:p w14:paraId="1CD3BB42" w14:textId="77777777" w:rsidR="0015023B" w:rsidRDefault="0015023B">
      <w:pPr>
        <w:pStyle w:val="TableofFigures"/>
        <w:tabs>
          <w:tab w:val="right" w:leader="dot" w:pos="9629"/>
        </w:tabs>
        <w:rPr>
          <w:rFonts w:asciiTheme="minorHAnsi" w:eastAsiaTheme="minorEastAsia" w:hAnsiTheme="minorHAnsi"/>
          <w:b w:val="0"/>
          <w:noProof/>
          <w:lang w:val="en-150" w:eastAsia="en-150"/>
        </w:rPr>
      </w:pPr>
      <w:r w:rsidRPr="00B521AF">
        <w:rPr>
          <w:rFonts w:cstheme="minorHAnsi"/>
          <w:noProof/>
        </w:rPr>
        <w:t>Proposal 8</w:t>
      </w:r>
      <w:r>
        <w:rPr>
          <w:rFonts w:asciiTheme="minorHAnsi" w:eastAsiaTheme="minorEastAsia" w:hAnsiTheme="minorHAnsi"/>
          <w:b w:val="0"/>
          <w:noProof/>
          <w:lang w:val="en-150" w:eastAsia="en-150"/>
        </w:rPr>
        <w:tab/>
      </w:r>
      <w:r>
        <w:rPr>
          <w:noProof/>
        </w:rPr>
        <w:t>No semi-static codebook specific enhancements are considered for NR-U</w:t>
      </w:r>
    </w:p>
    <w:p w14:paraId="01C38ABA" w14:textId="77777777" w:rsidR="0015023B" w:rsidRDefault="0015023B">
      <w:pPr>
        <w:pStyle w:val="TableofFigures"/>
        <w:tabs>
          <w:tab w:val="right" w:leader="dot" w:pos="9629"/>
        </w:tabs>
        <w:rPr>
          <w:rFonts w:asciiTheme="minorHAnsi" w:eastAsiaTheme="minorEastAsia" w:hAnsiTheme="minorHAnsi"/>
          <w:b w:val="0"/>
          <w:noProof/>
          <w:lang w:val="en-150" w:eastAsia="en-150"/>
        </w:rPr>
      </w:pPr>
      <w:r>
        <w:rPr>
          <w:noProof/>
        </w:rPr>
        <w:t>Proposal 9</w:t>
      </w:r>
      <w:r>
        <w:rPr>
          <w:rFonts w:asciiTheme="minorHAnsi" w:eastAsiaTheme="minorEastAsia" w:hAnsiTheme="minorHAnsi"/>
          <w:b w:val="0"/>
          <w:noProof/>
          <w:lang w:val="en-150" w:eastAsia="en-150"/>
        </w:rPr>
        <w:tab/>
      </w:r>
      <w:r>
        <w:rPr>
          <w:noProof/>
        </w:rPr>
        <w:t>non-numerical K1 is not beneficial for the semi-static codebook.</w:t>
      </w:r>
    </w:p>
    <w:p w14:paraId="45ADBA71" w14:textId="77777777" w:rsidR="0015023B" w:rsidRDefault="0015023B">
      <w:pPr>
        <w:pStyle w:val="TableofFigures"/>
        <w:tabs>
          <w:tab w:val="right" w:leader="dot" w:pos="9629"/>
        </w:tabs>
        <w:rPr>
          <w:rFonts w:asciiTheme="minorHAnsi" w:eastAsiaTheme="minorEastAsia" w:hAnsiTheme="minorHAnsi"/>
          <w:b w:val="0"/>
          <w:noProof/>
          <w:lang w:val="en-150" w:eastAsia="en-150"/>
        </w:rPr>
      </w:pPr>
      <w:r>
        <w:rPr>
          <w:noProof/>
        </w:rPr>
        <w:t>Proposal 10</w:t>
      </w:r>
      <w:r>
        <w:rPr>
          <w:rFonts w:asciiTheme="minorHAnsi" w:eastAsiaTheme="minorEastAsia" w:hAnsiTheme="minorHAnsi"/>
          <w:b w:val="0"/>
          <w:noProof/>
          <w:lang w:val="en-150" w:eastAsia="en-150"/>
        </w:rPr>
        <w:tab/>
      </w:r>
      <w:r>
        <w:rPr>
          <w:noProof/>
        </w:rPr>
        <w:t>One-shot group HARQ ACK feedback request can be carried in:</w:t>
      </w:r>
    </w:p>
    <w:p w14:paraId="34D655B9" w14:textId="77777777" w:rsidR="0015023B" w:rsidRDefault="0015023B">
      <w:pPr>
        <w:pStyle w:val="TableofFigures"/>
        <w:tabs>
          <w:tab w:val="right" w:leader="dot" w:pos="9629"/>
        </w:tabs>
        <w:rPr>
          <w:rFonts w:asciiTheme="minorHAnsi" w:eastAsiaTheme="minorEastAsia" w:hAnsiTheme="minorHAnsi"/>
          <w:b w:val="0"/>
          <w:noProof/>
          <w:lang w:val="en-150" w:eastAsia="en-150"/>
        </w:rPr>
      </w:pPr>
      <w:r>
        <w:rPr>
          <w:noProof/>
        </w:rPr>
        <w:t>a.</w:t>
      </w:r>
      <w:r>
        <w:rPr>
          <w:rFonts w:asciiTheme="minorHAnsi" w:eastAsiaTheme="minorEastAsia" w:hAnsiTheme="minorHAnsi"/>
          <w:b w:val="0"/>
          <w:noProof/>
          <w:lang w:val="en-150" w:eastAsia="en-150"/>
        </w:rPr>
        <w:tab/>
      </w:r>
      <w:r>
        <w:rPr>
          <w:noProof/>
        </w:rPr>
        <w:t>UE-specific DCI carrying a grant for PUSCH with/without UL-SCH</w:t>
      </w:r>
    </w:p>
    <w:p w14:paraId="1DA36E6E" w14:textId="77777777" w:rsidR="0015023B" w:rsidRDefault="0015023B">
      <w:pPr>
        <w:pStyle w:val="TableofFigures"/>
        <w:tabs>
          <w:tab w:val="right" w:leader="dot" w:pos="9629"/>
        </w:tabs>
        <w:rPr>
          <w:rFonts w:asciiTheme="minorHAnsi" w:eastAsiaTheme="minorEastAsia" w:hAnsiTheme="minorHAnsi"/>
          <w:b w:val="0"/>
          <w:noProof/>
          <w:lang w:val="en-150" w:eastAsia="en-150"/>
        </w:rPr>
      </w:pPr>
      <w:r>
        <w:rPr>
          <w:noProof/>
        </w:rPr>
        <w:t>b.</w:t>
      </w:r>
      <w:r>
        <w:rPr>
          <w:rFonts w:asciiTheme="minorHAnsi" w:eastAsiaTheme="minorEastAsia" w:hAnsiTheme="minorHAnsi"/>
          <w:b w:val="0"/>
          <w:noProof/>
          <w:lang w:val="en-150" w:eastAsia="en-150"/>
        </w:rPr>
        <w:tab/>
      </w:r>
      <w:r>
        <w:rPr>
          <w:noProof/>
        </w:rPr>
        <w:t>UE-specific DCI carrying a PDSCH assignment</w:t>
      </w:r>
    </w:p>
    <w:p w14:paraId="21D02BBC" w14:textId="77777777" w:rsidR="0015023B" w:rsidRDefault="0015023B">
      <w:pPr>
        <w:pStyle w:val="TableofFigures"/>
        <w:tabs>
          <w:tab w:val="right" w:leader="dot" w:pos="9629"/>
        </w:tabs>
        <w:rPr>
          <w:rFonts w:asciiTheme="minorHAnsi" w:eastAsiaTheme="minorEastAsia" w:hAnsiTheme="minorHAnsi"/>
          <w:b w:val="0"/>
          <w:noProof/>
          <w:lang w:val="en-150" w:eastAsia="en-150"/>
        </w:rPr>
      </w:pPr>
      <w:r>
        <w:rPr>
          <w:noProof/>
        </w:rPr>
        <w:t>Proposal 11</w:t>
      </w:r>
      <w:r>
        <w:rPr>
          <w:rFonts w:asciiTheme="minorHAnsi" w:eastAsiaTheme="minorEastAsia" w:hAnsiTheme="minorHAnsi"/>
          <w:b w:val="0"/>
          <w:noProof/>
          <w:lang w:val="en-150" w:eastAsia="en-150"/>
        </w:rPr>
        <w:tab/>
      </w:r>
      <w:r>
        <w:rPr>
          <w:noProof/>
        </w:rPr>
        <w:t xml:space="preserve">In response to the trigger reception, for every HARQ process to be reported, the UE reports the corresponding latest NDI value for a latest </w:t>
      </w:r>
      <w:r>
        <w:rPr>
          <w:noProof/>
        </w:rPr>
        <w:lastRenderedPageBreak/>
        <w:t>received PDSCH for that HARQ process along with the corresponding HARQ-ACK for the received PDSCH.</w:t>
      </w:r>
    </w:p>
    <w:p w14:paraId="4A2A807F" w14:textId="77777777" w:rsidR="0015023B" w:rsidRDefault="0015023B">
      <w:pPr>
        <w:pStyle w:val="TableofFigures"/>
        <w:tabs>
          <w:tab w:val="right" w:leader="dot" w:pos="9629"/>
        </w:tabs>
        <w:rPr>
          <w:rFonts w:asciiTheme="minorHAnsi" w:eastAsiaTheme="minorEastAsia" w:hAnsiTheme="minorHAnsi"/>
          <w:b w:val="0"/>
          <w:noProof/>
          <w:lang w:val="en-150" w:eastAsia="en-150"/>
        </w:rPr>
      </w:pPr>
      <w:r>
        <w:rPr>
          <w:noProof/>
        </w:rPr>
        <w:t>Proposal 12</w:t>
      </w:r>
      <w:r>
        <w:rPr>
          <w:rFonts w:asciiTheme="minorHAnsi" w:eastAsiaTheme="minorEastAsia" w:hAnsiTheme="minorHAnsi"/>
          <w:b w:val="0"/>
          <w:noProof/>
          <w:lang w:val="en-150" w:eastAsia="en-150"/>
        </w:rPr>
        <w:tab/>
      </w:r>
      <w:r>
        <w:rPr>
          <w:noProof/>
        </w:rPr>
        <w:t>After correctly receiving the feedback in response of one-shot trigger,</w:t>
      </w:r>
    </w:p>
    <w:p w14:paraId="5B9060A0" w14:textId="77777777" w:rsidR="0015023B" w:rsidRDefault="0015023B">
      <w:pPr>
        <w:pStyle w:val="TableofFigures"/>
        <w:tabs>
          <w:tab w:val="right" w:leader="dot" w:pos="9629"/>
        </w:tabs>
        <w:rPr>
          <w:rFonts w:asciiTheme="minorHAnsi" w:eastAsiaTheme="minorEastAsia" w:hAnsiTheme="minorHAnsi"/>
          <w:b w:val="0"/>
          <w:noProof/>
          <w:lang w:val="en-150" w:eastAsia="en-150"/>
        </w:rPr>
      </w:pPr>
      <w:r>
        <w:rPr>
          <w:noProof/>
        </w:rPr>
        <w:t>a.</w:t>
      </w:r>
      <w:r>
        <w:rPr>
          <w:rFonts w:asciiTheme="minorHAnsi" w:eastAsiaTheme="minorEastAsia" w:hAnsiTheme="minorHAnsi"/>
          <w:b w:val="0"/>
          <w:noProof/>
          <w:lang w:val="en-150" w:eastAsia="en-150"/>
        </w:rPr>
        <w:tab/>
      </w:r>
      <w:r>
        <w:rPr>
          <w:noProof/>
        </w:rPr>
        <w:t>gNB toggles the NFI for all groups</w:t>
      </w:r>
    </w:p>
    <w:p w14:paraId="4CD7C7D2" w14:textId="77777777" w:rsidR="0015023B" w:rsidRDefault="0015023B">
      <w:pPr>
        <w:pStyle w:val="TableofFigures"/>
        <w:tabs>
          <w:tab w:val="right" w:leader="dot" w:pos="9629"/>
        </w:tabs>
        <w:rPr>
          <w:rFonts w:asciiTheme="minorHAnsi" w:eastAsiaTheme="minorEastAsia" w:hAnsiTheme="minorHAnsi"/>
          <w:b w:val="0"/>
          <w:noProof/>
          <w:lang w:val="en-150" w:eastAsia="en-150"/>
        </w:rPr>
      </w:pPr>
      <w:r>
        <w:rPr>
          <w:noProof/>
        </w:rPr>
        <w:t>b.</w:t>
      </w:r>
      <w:r>
        <w:rPr>
          <w:rFonts w:asciiTheme="minorHAnsi" w:eastAsiaTheme="minorEastAsia" w:hAnsiTheme="minorHAnsi"/>
          <w:b w:val="0"/>
          <w:noProof/>
          <w:lang w:val="en-150" w:eastAsia="en-150"/>
        </w:rPr>
        <w:tab/>
      </w:r>
      <w:r>
        <w:rPr>
          <w:noProof/>
        </w:rPr>
        <w:t>The DAI value for PDSCH groups with a received report for their corresponding HARQ process IDs, are reset to the corresponding initial value in addition to counting the PDSCH of that group that were not reported due to feedback timing that does not meet the required processing time.</w:t>
      </w:r>
    </w:p>
    <w:p w14:paraId="0D199A22" w14:textId="77777777" w:rsidR="0015023B" w:rsidRDefault="0015023B">
      <w:pPr>
        <w:pStyle w:val="TableofFigures"/>
        <w:tabs>
          <w:tab w:val="right" w:leader="dot" w:pos="9629"/>
        </w:tabs>
        <w:rPr>
          <w:rFonts w:asciiTheme="minorHAnsi" w:eastAsiaTheme="minorEastAsia" w:hAnsiTheme="minorHAnsi"/>
          <w:b w:val="0"/>
          <w:noProof/>
          <w:lang w:val="en-150" w:eastAsia="en-150"/>
        </w:rPr>
      </w:pPr>
      <w:r w:rsidRPr="00B521AF">
        <w:rPr>
          <w:rFonts w:asciiTheme="minorHAnsi" w:hAnsiTheme="minorHAnsi" w:cstheme="minorHAnsi"/>
          <w:noProof/>
        </w:rPr>
        <w:t>Proposal 13</w:t>
      </w:r>
      <w:r>
        <w:rPr>
          <w:rFonts w:asciiTheme="minorHAnsi" w:eastAsiaTheme="minorEastAsia" w:hAnsiTheme="minorHAnsi"/>
          <w:b w:val="0"/>
          <w:noProof/>
          <w:lang w:val="en-150" w:eastAsia="en-150"/>
        </w:rPr>
        <w:tab/>
      </w:r>
      <w:r>
        <w:rPr>
          <w:noProof/>
        </w:rPr>
        <w:t>Support transmission of HARQ feedback in PUSCH without UL-SCH even if aperiodic CSI is not requested for this PUSCH transmission</w:t>
      </w:r>
    </w:p>
    <w:p w14:paraId="2A3AD1D6" w14:textId="77777777" w:rsidR="0015023B" w:rsidRDefault="0015023B">
      <w:pPr>
        <w:pStyle w:val="TableofFigures"/>
        <w:tabs>
          <w:tab w:val="right" w:leader="dot" w:pos="9629"/>
        </w:tabs>
        <w:rPr>
          <w:rFonts w:asciiTheme="minorHAnsi" w:eastAsiaTheme="minorEastAsia" w:hAnsiTheme="minorHAnsi"/>
          <w:b w:val="0"/>
          <w:noProof/>
          <w:lang w:val="en-150" w:eastAsia="en-150"/>
        </w:rPr>
      </w:pPr>
      <w:r w:rsidRPr="00B521AF">
        <w:rPr>
          <w:rFonts w:asciiTheme="minorHAnsi" w:hAnsiTheme="minorHAnsi" w:cstheme="minorHAnsi"/>
          <w:noProof/>
        </w:rPr>
        <w:t>Proposal 14</w:t>
      </w:r>
      <w:r>
        <w:rPr>
          <w:rFonts w:asciiTheme="minorHAnsi" w:eastAsiaTheme="minorEastAsia" w:hAnsiTheme="minorHAnsi"/>
          <w:b w:val="0"/>
          <w:noProof/>
          <w:lang w:val="en-150" w:eastAsia="en-150"/>
        </w:rPr>
        <w:tab/>
      </w:r>
      <w:r>
        <w:rPr>
          <w:noProof/>
        </w:rPr>
        <w:t>A new dimension reflecting LBT bandwidth is added to the semi-static codebook</w:t>
      </w:r>
    </w:p>
    <w:p w14:paraId="2D90BD29" w14:textId="77777777" w:rsidR="0015023B" w:rsidRDefault="0015023B">
      <w:pPr>
        <w:pStyle w:val="TableofFigures"/>
        <w:tabs>
          <w:tab w:val="right" w:leader="dot" w:pos="9629"/>
        </w:tabs>
        <w:rPr>
          <w:rFonts w:asciiTheme="minorHAnsi" w:eastAsiaTheme="minorEastAsia" w:hAnsiTheme="minorHAnsi"/>
          <w:b w:val="0"/>
          <w:noProof/>
          <w:lang w:val="en-150" w:eastAsia="en-150"/>
        </w:rPr>
      </w:pPr>
      <w:r>
        <w:rPr>
          <w:noProof/>
        </w:rPr>
        <w:t>Proposal 15</w:t>
      </w:r>
      <w:r>
        <w:rPr>
          <w:rFonts w:asciiTheme="minorHAnsi" w:eastAsiaTheme="minorEastAsia" w:hAnsiTheme="minorHAnsi"/>
          <w:b w:val="0"/>
          <w:noProof/>
          <w:lang w:val="en-150" w:eastAsia="en-150"/>
        </w:rPr>
        <w:tab/>
      </w:r>
      <w:r>
        <w:rPr>
          <w:noProof/>
        </w:rPr>
        <w:t>For wideband semi-static codebook with time overlapping PDSCHs, consider the following alternatives for generation of HAR-ACK bits</w:t>
      </w:r>
    </w:p>
    <w:p w14:paraId="24B58D23" w14:textId="77777777" w:rsidR="0015023B" w:rsidRDefault="0015023B">
      <w:pPr>
        <w:pStyle w:val="TableofFigures"/>
        <w:tabs>
          <w:tab w:val="right" w:leader="dot" w:pos="9629"/>
        </w:tabs>
        <w:rPr>
          <w:rFonts w:asciiTheme="minorHAnsi" w:eastAsiaTheme="minorEastAsia" w:hAnsiTheme="minorHAnsi"/>
          <w:b w:val="0"/>
          <w:noProof/>
          <w:lang w:val="en-150" w:eastAsia="en-150"/>
        </w:rPr>
      </w:pPr>
      <w:r>
        <w:rPr>
          <w:noProof/>
        </w:rPr>
        <w:t>a.</w:t>
      </w:r>
      <w:r>
        <w:rPr>
          <w:rFonts w:asciiTheme="minorHAnsi" w:eastAsiaTheme="minorEastAsia" w:hAnsiTheme="minorHAnsi"/>
          <w:b w:val="0"/>
          <w:noProof/>
          <w:lang w:val="en-150" w:eastAsia="en-150"/>
        </w:rPr>
        <w:tab/>
      </w:r>
      <w:r>
        <w:rPr>
          <w:noProof/>
        </w:rPr>
        <w:t>The UE generates the HARQ-ACK bit corresponding to a PDSCH, in the acknowledgment timing corresponding to the PDSCH reception, and in the reserved bit for the corresponding LBT bandwidth where the PDSCH is partially of fully transmitted.</w:t>
      </w:r>
    </w:p>
    <w:p w14:paraId="63F436E1" w14:textId="77777777" w:rsidR="0015023B" w:rsidRDefault="0015023B">
      <w:pPr>
        <w:pStyle w:val="TableofFigures"/>
        <w:tabs>
          <w:tab w:val="right" w:leader="dot" w:pos="9629"/>
        </w:tabs>
        <w:rPr>
          <w:rFonts w:asciiTheme="minorHAnsi" w:eastAsiaTheme="minorEastAsia" w:hAnsiTheme="minorHAnsi"/>
          <w:b w:val="0"/>
          <w:noProof/>
          <w:lang w:val="en-150" w:eastAsia="en-150"/>
        </w:rPr>
      </w:pPr>
      <w:r>
        <w:rPr>
          <w:noProof/>
        </w:rPr>
        <w:t>b.</w:t>
      </w:r>
      <w:r>
        <w:rPr>
          <w:rFonts w:asciiTheme="minorHAnsi" w:eastAsiaTheme="minorEastAsia" w:hAnsiTheme="minorHAnsi"/>
          <w:b w:val="0"/>
          <w:noProof/>
          <w:lang w:val="en-150" w:eastAsia="en-150"/>
        </w:rPr>
        <w:tab/>
      </w:r>
      <w:r>
        <w:rPr>
          <w:noProof/>
        </w:rPr>
        <w:t>The UE generates the HARQ-ACK bit corresponding to a PDSCH, in the acknowledgment timing corresponding to the PDSCH reception, and in the reserved bit for the corresponding LBT bandwidth where the scheduling PDCCH is transmitted.</w:t>
      </w:r>
    </w:p>
    <w:p w14:paraId="2AEA344D" w14:textId="77777777" w:rsidR="0015023B" w:rsidRDefault="0015023B">
      <w:pPr>
        <w:pStyle w:val="TableofFigures"/>
        <w:tabs>
          <w:tab w:val="right" w:leader="dot" w:pos="9629"/>
        </w:tabs>
        <w:rPr>
          <w:rFonts w:asciiTheme="minorHAnsi" w:eastAsiaTheme="minorEastAsia" w:hAnsiTheme="minorHAnsi"/>
          <w:b w:val="0"/>
          <w:noProof/>
          <w:lang w:val="en-150" w:eastAsia="en-150"/>
        </w:rPr>
      </w:pPr>
      <w:r>
        <w:rPr>
          <w:noProof/>
        </w:rPr>
        <w:t>Proposal 16</w:t>
      </w:r>
      <w:r>
        <w:rPr>
          <w:rFonts w:asciiTheme="minorHAnsi" w:eastAsiaTheme="minorEastAsia" w:hAnsiTheme="minorHAnsi"/>
          <w:b w:val="0"/>
          <w:noProof/>
          <w:lang w:val="en-150" w:eastAsia="en-150"/>
        </w:rPr>
        <w:tab/>
      </w:r>
      <w:r>
        <w:rPr>
          <w:noProof/>
        </w:rPr>
        <w:t>Support UL/DL Scheduling combination:</w:t>
      </w:r>
    </w:p>
    <w:p w14:paraId="75E52A49" w14:textId="77777777" w:rsidR="0015023B" w:rsidRDefault="0015023B">
      <w:pPr>
        <w:pStyle w:val="TableofFigures"/>
        <w:tabs>
          <w:tab w:val="right" w:leader="dot" w:pos="9629"/>
        </w:tabs>
        <w:rPr>
          <w:rFonts w:asciiTheme="minorHAnsi" w:eastAsiaTheme="minorEastAsia" w:hAnsiTheme="minorHAnsi"/>
          <w:b w:val="0"/>
          <w:noProof/>
          <w:lang w:val="en-150" w:eastAsia="en-150"/>
        </w:rPr>
      </w:pPr>
      <w:r>
        <w:rPr>
          <w:noProof/>
        </w:rPr>
        <w:t>a.</w:t>
      </w:r>
      <w:r>
        <w:rPr>
          <w:rFonts w:asciiTheme="minorHAnsi" w:eastAsiaTheme="minorEastAsia" w:hAnsiTheme="minorHAnsi"/>
          <w:b w:val="0"/>
          <w:noProof/>
          <w:lang w:val="en-150" w:eastAsia="en-150"/>
        </w:rPr>
        <w:tab/>
      </w:r>
      <w:r>
        <w:rPr>
          <w:noProof/>
        </w:rPr>
        <w:t>Self-scheduling for DL</w:t>
      </w:r>
    </w:p>
    <w:p w14:paraId="73943B30" w14:textId="77777777" w:rsidR="0015023B" w:rsidRDefault="0015023B">
      <w:pPr>
        <w:pStyle w:val="TableofFigures"/>
        <w:tabs>
          <w:tab w:val="right" w:leader="dot" w:pos="9629"/>
        </w:tabs>
        <w:rPr>
          <w:rFonts w:asciiTheme="minorHAnsi" w:eastAsiaTheme="minorEastAsia" w:hAnsiTheme="minorHAnsi"/>
          <w:b w:val="0"/>
          <w:noProof/>
          <w:lang w:val="en-150" w:eastAsia="en-150"/>
        </w:rPr>
      </w:pPr>
      <w:r>
        <w:rPr>
          <w:noProof/>
        </w:rPr>
        <w:t>b.</w:t>
      </w:r>
      <w:r>
        <w:rPr>
          <w:rFonts w:asciiTheme="minorHAnsi" w:eastAsiaTheme="minorEastAsia" w:hAnsiTheme="minorHAnsi"/>
          <w:b w:val="0"/>
          <w:noProof/>
          <w:lang w:val="en-150" w:eastAsia="en-150"/>
        </w:rPr>
        <w:tab/>
      </w:r>
      <w:r>
        <w:rPr>
          <w:noProof/>
        </w:rPr>
        <w:t>Self- and/or cross-carrier scheduling for UL</w:t>
      </w:r>
    </w:p>
    <w:p w14:paraId="18AF8645" w14:textId="77777777" w:rsidR="0015023B" w:rsidRDefault="0015023B">
      <w:pPr>
        <w:pStyle w:val="TableofFigures"/>
        <w:tabs>
          <w:tab w:val="right" w:leader="dot" w:pos="9629"/>
        </w:tabs>
        <w:rPr>
          <w:rFonts w:asciiTheme="minorHAnsi" w:eastAsiaTheme="minorEastAsia" w:hAnsiTheme="minorHAnsi"/>
          <w:b w:val="0"/>
          <w:noProof/>
          <w:lang w:val="en-150" w:eastAsia="en-150"/>
        </w:rPr>
      </w:pPr>
      <w:r>
        <w:rPr>
          <w:noProof/>
        </w:rPr>
        <w:t>Proposal 17</w:t>
      </w:r>
      <w:r>
        <w:rPr>
          <w:rFonts w:asciiTheme="minorHAnsi" w:eastAsiaTheme="minorEastAsia" w:hAnsiTheme="minorHAnsi"/>
          <w:b w:val="0"/>
          <w:noProof/>
          <w:lang w:val="en-150" w:eastAsia="en-150"/>
        </w:rPr>
        <w:tab/>
      </w:r>
      <w:r>
        <w:rPr>
          <w:noProof/>
        </w:rPr>
        <w:t>For signaling the number of scheduled PUSCHs and TDRA in one DCI scheduling multiple PUSCHs,</w:t>
      </w:r>
    </w:p>
    <w:p w14:paraId="20BEB2DA" w14:textId="77777777" w:rsidR="0015023B" w:rsidRDefault="0015023B">
      <w:pPr>
        <w:pStyle w:val="TableofFigures"/>
        <w:tabs>
          <w:tab w:val="right" w:leader="dot" w:pos="9629"/>
        </w:tabs>
        <w:rPr>
          <w:rFonts w:asciiTheme="minorHAnsi" w:eastAsiaTheme="minorEastAsia" w:hAnsiTheme="minorHAnsi"/>
          <w:b w:val="0"/>
          <w:noProof/>
          <w:lang w:val="en-150" w:eastAsia="en-150"/>
        </w:rPr>
      </w:pPr>
      <w:r>
        <w:rPr>
          <w:noProof/>
        </w:rPr>
        <w:t>a.</w:t>
      </w:r>
      <w:r>
        <w:rPr>
          <w:rFonts w:asciiTheme="minorHAnsi" w:eastAsiaTheme="minorEastAsia" w:hAnsiTheme="minorHAnsi"/>
          <w:b w:val="0"/>
          <w:noProof/>
          <w:lang w:val="en-150" w:eastAsia="en-150"/>
        </w:rPr>
        <w:tab/>
      </w:r>
      <w:r>
        <w:rPr>
          <w:noProof/>
        </w:rPr>
        <w:t>Each PUSCH has a separate SLIV, mapping type and K2 value.</w:t>
      </w:r>
    </w:p>
    <w:p w14:paraId="4EE007FF" w14:textId="77777777" w:rsidR="0015023B" w:rsidRDefault="0015023B">
      <w:pPr>
        <w:pStyle w:val="TableofFigures"/>
        <w:tabs>
          <w:tab w:val="right" w:leader="dot" w:pos="9629"/>
        </w:tabs>
        <w:rPr>
          <w:rFonts w:asciiTheme="minorHAnsi" w:eastAsiaTheme="minorEastAsia" w:hAnsiTheme="minorHAnsi"/>
          <w:b w:val="0"/>
          <w:noProof/>
          <w:lang w:val="en-150" w:eastAsia="en-150"/>
        </w:rPr>
      </w:pPr>
      <w:r>
        <w:rPr>
          <w:noProof/>
        </w:rPr>
        <w:t>b.</w:t>
      </w:r>
      <w:r>
        <w:rPr>
          <w:rFonts w:asciiTheme="minorHAnsi" w:eastAsiaTheme="minorEastAsia" w:hAnsiTheme="minorHAnsi"/>
          <w:b w:val="0"/>
          <w:noProof/>
          <w:lang w:val="en-150" w:eastAsia="en-150"/>
        </w:rPr>
        <w:tab/>
      </w:r>
      <w:r>
        <w:rPr>
          <w:noProof/>
        </w:rPr>
        <w:t>The number of scheduled PUSCHs is signalled by the number of indicated valid SLIVs in the row of the TDRA table signalled in DCI.</w:t>
      </w:r>
    </w:p>
    <w:p w14:paraId="039FA153" w14:textId="77777777" w:rsidR="0015023B" w:rsidRDefault="0015023B">
      <w:pPr>
        <w:pStyle w:val="TableofFigures"/>
        <w:tabs>
          <w:tab w:val="right" w:leader="dot" w:pos="9629"/>
        </w:tabs>
        <w:rPr>
          <w:rFonts w:asciiTheme="minorHAnsi" w:eastAsiaTheme="minorEastAsia" w:hAnsiTheme="minorHAnsi"/>
          <w:b w:val="0"/>
          <w:noProof/>
          <w:lang w:val="en-150" w:eastAsia="en-150"/>
        </w:rPr>
      </w:pPr>
      <w:r w:rsidRPr="00B521AF">
        <w:rPr>
          <w:rFonts w:asciiTheme="minorHAnsi" w:hAnsiTheme="minorHAnsi" w:cstheme="minorHAnsi"/>
          <w:noProof/>
        </w:rPr>
        <w:t>Proposal 18</w:t>
      </w:r>
      <w:r>
        <w:rPr>
          <w:rFonts w:asciiTheme="minorHAnsi" w:eastAsiaTheme="minorEastAsia" w:hAnsiTheme="minorHAnsi"/>
          <w:b w:val="0"/>
          <w:noProof/>
          <w:lang w:val="en-150" w:eastAsia="en-150"/>
        </w:rPr>
        <w:tab/>
      </w:r>
      <w:r w:rsidRPr="00B521AF">
        <w:rPr>
          <w:rFonts w:asciiTheme="minorHAnsi" w:hAnsiTheme="minorHAnsi" w:cstheme="minorHAnsi"/>
          <w:noProof/>
        </w:rPr>
        <w:t>If both Codebook group feedback and multi-PUSCH scheduling are configured simultaneously,</w:t>
      </w:r>
    </w:p>
    <w:p w14:paraId="1DFC9EE8" w14:textId="77777777" w:rsidR="0015023B" w:rsidRDefault="0015023B">
      <w:pPr>
        <w:pStyle w:val="TableofFigures"/>
        <w:tabs>
          <w:tab w:val="right" w:leader="dot" w:pos="9629"/>
        </w:tabs>
        <w:rPr>
          <w:rFonts w:asciiTheme="minorHAnsi" w:eastAsiaTheme="minorEastAsia" w:hAnsiTheme="minorHAnsi"/>
          <w:b w:val="0"/>
          <w:noProof/>
          <w:lang w:val="en-150" w:eastAsia="en-150"/>
        </w:rPr>
      </w:pPr>
      <w:r w:rsidRPr="00B521AF">
        <w:rPr>
          <w:rFonts w:asciiTheme="minorHAnsi" w:hAnsiTheme="minorHAnsi" w:cstheme="minorHAnsi"/>
          <w:noProof/>
        </w:rPr>
        <w:t>a.</w:t>
      </w:r>
      <w:r>
        <w:rPr>
          <w:rFonts w:asciiTheme="minorHAnsi" w:eastAsiaTheme="minorEastAsia" w:hAnsiTheme="minorHAnsi"/>
          <w:b w:val="0"/>
          <w:noProof/>
          <w:lang w:val="en-150" w:eastAsia="en-150"/>
        </w:rPr>
        <w:tab/>
      </w:r>
      <w:r w:rsidRPr="00B521AF">
        <w:rPr>
          <w:rFonts w:asciiTheme="minorHAnsi" w:hAnsiTheme="minorHAnsi" w:cstheme="minorHAnsi"/>
          <w:noProof/>
        </w:rPr>
        <w:t xml:space="preserve">if </w:t>
      </w:r>
      <w:r w:rsidRPr="00B521AF">
        <w:rPr>
          <w:rFonts w:asciiTheme="minorHAnsi" w:hAnsiTheme="minorHAnsi" w:cstheme="minorHAnsi"/>
          <w:noProof/>
          <w:lang w:val="en-150"/>
        </w:rPr>
        <w:t>one PUSCH is scheduled</w:t>
      </w:r>
      <w:r w:rsidRPr="00B521AF">
        <w:rPr>
          <w:rFonts w:asciiTheme="minorHAnsi" w:hAnsiTheme="minorHAnsi" w:cstheme="minorHAnsi"/>
          <w:noProof/>
        </w:rPr>
        <w:t>,</w:t>
      </w:r>
    </w:p>
    <w:p w14:paraId="7F68F522" w14:textId="77777777" w:rsidR="0015023B" w:rsidRDefault="0015023B">
      <w:pPr>
        <w:pStyle w:val="TableofFigures"/>
        <w:tabs>
          <w:tab w:val="right" w:leader="dot" w:pos="9629"/>
        </w:tabs>
        <w:rPr>
          <w:rFonts w:asciiTheme="minorHAnsi" w:eastAsiaTheme="minorEastAsia" w:hAnsiTheme="minorHAnsi"/>
          <w:b w:val="0"/>
          <w:noProof/>
          <w:lang w:val="en-150" w:eastAsia="en-150"/>
        </w:rPr>
      </w:pPr>
      <w:r w:rsidRPr="00B521AF">
        <w:rPr>
          <w:rFonts w:asciiTheme="minorHAnsi" w:hAnsiTheme="minorHAnsi" w:cstheme="minorHAnsi"/>
          <w:noProof/>
        </w:rPr>
        <w:t>i.</w:t>
      </w:r>
      <w:r>
        <w:rPr>
          <w:rFonts w:asciiTheme="minorHAnsi" w:eastAsiaTheme="minorEastAsia" w:hAnsiTheme="minorHAnsi"/>
          <w:b w:val="0"/>
          <w:noProof/>
          <w:lang w:val="en-150" w:eastAsia="en-150"/>
        </w:rPr>
        <w:tab/>
      </w:r>
      <w:r w:rsidRPr="00B521AF">
        <w:rPr>
          <w:rFonts w:asciiTheme="minorHAnsi" w:hAnsiTheme="minorHAnsi" w:cstheme="minorHAnsi"/>
          <w:noProof/>
        </w:rPr>
        <w:t>RV, NDI is indicated for one slot (i.e. RV is two bits, NDI is one bit)</w:t>
      </w:r>
    </w:p>
    <w:p w14:paraId="789104CC" w14:textId="77777777" w:rsidR="0015023B" w:rsidRDefault="0015023B">
      <w:pPr>
        <w:pStyle w:val="TableofFigures"/>
        <w:tabs>
          <w:tab w:val="right" w:leader="dot" w:pos="9629"/>
        </w:tabs>
        <w:rPr>
          <w:rFonts w:asciiTheme="minorHAnsi" w:eastAsiaTheme="minorEastAsia" w:hAnsiTheme="minorHAnsi"/>
          <w:b w:val="0"/>
          <w:noProof/>
          <w:lang w:val="en-150" w:eastAsia="en-150"/>
        </w:rPr>
      </w:pPr>
      <w:r w:rsidRPr="00B521AF">
        <w:rPr>
          <w:rFonts w:asciiTheme="minorHAnsi" w:hAnsiTheme="minorHAnsi" w:cstheme="minorHAnsi"/>
          <w:noProof/>
        </w:rPr>
        <w:t>ii.</w:t>
      </w:r>
      <w:r>
        <w:rPr>
          <w:rFonts w:asciiTheme="minorHAnsi" w:eastAsiaTheme="minorEastAsia" w:hAnsiTheme="minorHAnsi"/>
          <w:b w:val="0"/>
          <w:noProof/>
          <w:lang w:val="en-150" w:eastAsia="en-150"/>
        </w:rPr>
        <w:tab/>
      </w:r>
      <w:r w:rsidRPr="00B521AF">
        <w:rPr>
          <w:rFonts w:asciiTheme="minorHAnsi" w:hAnsiTheme="minorHAnsi" w:cstheme="minorHAnsi"/>
          <w:noProof/>
        </w:rPr>
        <w:t>DCI indicates CBGTI information corresponding to the scheduled PUSCH</w:t>
      </w:r>
    </w:p>
    <w:p w14:paraId="6E71F23A" w14:textId="77777777" w:rsidR="0015023B" w:rsidRDefault="0015023B">
      <w:pPr>
        <w:pStyle w:val="TableofFigures"/>
        <w:tabs>
          <w:tab w:val="right" w:leader="dot" w:pos="9629"/>
        </w:tabs>
        <w:rPr>
          <w:rFonts w:asciiTheme="minorHAnsi" w:eastAsiaTheme="minorEastAsia" w:hAnsiTheme="minorHAnsi"/>
          <w:b w:val="0"/>
          <w:noProof/>
          <w:lang w:val="en-150" w:eastAsia="en-150"/>
        </w:rPr>
      </w:pPr>
      <w:r w:rsidRPr="00B521AF">
        <w:rPr>
          <w:rFonts w:asciiTheme="minorHAnsi" w:hAnsiTheme="minorHAnsi" w:cstheme="minorHAnsi"/>
          <w:noProof/>
        </w:rPr>
        <w:t>b.</w:t>
      </w:r>
      <w:r>
        <w:rPr>
          <w:rFonts w:asciiTheme="minorHAnsi" w:eastAsiaTheme="minorEastAsia" w:hAnsiTheme="minorHAnsi"/>
          <w:b w:val="0"/>
          <w:noProof/>
          <w:lang w:val="en-150" w:eastAsia="en-150"/>
        </w:rPr>
        <w:tab/>
      </w:r>
      <w:r w:rsidRPr="00B521AF">
        <w:rPr>
          <w:rFonts w:asciiTheme="minorHAnsi" w:hAnsiTheme="minorHAnsi" w:cstheme="minorHAnsi"/>
          <w:noProof/>
          <w:lang w:val="en-150"/>
        </w:rPr>
        <w:t>Else if more than one PUSCH is scheduled</w:t>
      </w:r>
      <w:r w:rsidRPr="00B521AF">
        <w:rPr>
          <w:rFonts w:asciiTheme="minorHAnsi" w:hAnsiTheme="minorHAnsi" w:cstheme="minorHAnsi"/>
          <w:noProof/>
        </w:rPr>
        <w:t>,</w:t>
      </w:r>
    </w:p>
    <w:p w14:paraId="24669F78" w14:textId="77777777" w:rsidR="0015023B" w:rsidRDefault="0015023B">
      <w:pPr>
        <w:pStyle w:val="TableofFigures"/>
        <w:tabs>
          <w:tab w:val="right" w:leader="dot" w:pos="9629"/>
        </w:tabs>
        <w:rPr>
          <w:rFonts w:asciiTheme="minorHAnsi" w:eastAsiaTheme="minorEastAsia" w:hAnsiTheme="minorHAnsi"/>
          <w:b w:val="0"/>
          <w:noProof/>
          <w:lang w:val="en-150" w:eastAsia="en-150"/>
        </w:rPr>
      </w:pPr>
      <w:r w:rsidRPr="00B521AF">
        <w:rPr>
          <w:rFonts w:asciiTheme="minorHAnsi" w:hAnsiTheme="minorHAnsi" w:cstheme="minorHAnsi"/>
          <w:noProof/>
        </w:rPr>
        <w:t>i.</w:t>
      </w:r>
      <w:r>
        <w:rPr>
          <w:rFonts w:asciiTheme="minorHAnsi" w:eastAsiaTheme="minorEastAsia" w:hAnsiTheme="minorHAnsi"/>
          <w:b w:val="0"/>
          <w:noProof/>
          <w:lang w:val="en-150" w:eastAsia="en-150"/>
        </w:rPr>
        <w:tab/>
      </w:r>
      <w:r w:rsidRPr="00B521AF">
        <w:rPr>
          <w:rFonts w:asciiTheme="minorHAnsi" w:hAnsiTheme="minorHAnsi" w:cstheme="minorHAnsi"/>
          <w:noProof/>
        </w:rPr>
        <w:t>CBGTI is not supported in case the DCI is scheduling multiple PUSCH. The field is not included in DCI.</w:t>
      </w:r>
    </w:p>
    <w:p w14:paraId="100096F0" w14:textId="77777777" w:rsidR="0015023B" w:rsidRDefault="0015023B">
      <w:pPr>
        <w:pStyle w:val="TableofFigures"/>
        <w:tabs>
          <w:tab w:val="right" w:leader="dot" w:pos="9629"/>
        </w:tabs>
        <w:rPr>
          <w:rFonts w:asciiTheme="minorHAnsi" w:eastAsiaTheme="minorEastAsia" w:hAnsiTheme="minorHAnsi"/>
          <w:b w:val="0"/>
          <w:noProof/>
          <w:lang w:val="en-150" w:eastAsia="en-150"/>
        </w:rPr>
      </w:pPr>
      <w:r w:rsidRPr="00B521AF">
        <w:rPr>
          <w:rFonts w:asciiTheme="minorHAnsi" w:hAnsiTheme="minorHAnsi" w:cstheme="minorHAnsi"/>
          <w:noProof/>
        </w:rPr>
        <w:t>ii.</w:t>
      </w:r>
      <w:r>
        <w:rPr>
          <w:rFonts w:asciiTheme="minorHAnsi" w:eastAsiaTheme="minorEastAsia" w:hAnsiTheme="minorHAnsi"/>
          <w:b w:val="0"/>
          <w:noProof/>
          <w:lang w:val="en-150" w:eastAsia="en-150"/>
        </w:rPr>
        <w:tab/>
      </w:r>
      <w:r w:rsidRPr="00B521AF">
        <w:rPr>
          <w:rFonts w:asciiTheme="minorHAnsi" w:hAnsiTheme="minorHAnsi" w:cstheme="minorHAnsi"/>
          <w:noProof/>
        </w:rPr>
        <w:t>Each of the RV and NDI bit width is equal to the maximum number of scheduled slots in RRC configuration</w:t>
      </w:r>
    </w:p>
    <w:p w14:paraId="01AB2E96" w14:textId="77777777" w:rsidR="0015023B" w:rsidRDefault="0015023B">
      <w:pPr>
        <w:pStyle w:val="TableofFigures"/>
        <w:tabs>
          <w:tab w:val="right" w:leader="dot" w:pos="9629"/>
        </w:tabs>
        <w:rPr>
          <w:rFonts w:asciiTheme="minorHAnsi" w:eastAsiaTheme="minorEastAsia" w:hAnsiTheme="minorHAnsi"/>
          <w:b w:val="0"/>
          <w:noProof/>
          <w:lang w:val="en-150" w:eastAsia="en-150"/>
        </w:rPr>
      </w:pPr>
      <w:r w:rsidRPr="00B521AF">
        <w:rPr>
          <w:rFonts w:asciiTheme="minorHAnsi" w:hAnsiTheme="minorHAnsi" w:cstheme="minorHAnsi"/>
          <w:noProof/>
        </w:rPr>
        <w:lastRenderedPageBreak/>
        <w:t>c.</w:t>
      </w:r>
      <w:r>
        <w:rPr>
          <w:rFonts w:asciiTheme="minorHAnsi" w:eastAsiaTheme="minorEastAsia" w:hAnsiTheme="minorHAnsi"/>
          <w:b w:val="0"/>
          <w:noProof/>
          <w:lang w:val="en-150" w:eastAsia="en-150"/>
        </w:rPr>
        <w:tab/>
      </w:r>
      <w:r w:rsidRPr="00B521AF">
        <w:rPr>
          <w:rFonts w:asciiTheme="minorHAnsi" w:hAnsiTheme="minorHAnsi" w:cstheme="minorHAnsi"/>
          <w:noProof/>
        </w:rPr>
        <w:t>Zero padding might be needed to align the DCI length for the two cases.</w:t>
      </w:r>
    </w:p>
    <w:p w14:paraId="1F26E937" w14:textId="77777777" w:rsidR="0015023B" w:rsidRDefault="0015023B">
      <w:pPr>
        <w:pStyle w:val="TableofFigures"/>
        <w:tabs>
          <w:tab w:val="right" w:leader="dot" w:pos="9629"/>
        </w:tabs>
        <w:rPr>
          <w:rFonts w:asciiTheme="minorHAnsi" w:eastAsiaTheme="minorEastAsia" w:hAnsiTheme="minorHAnsi"/>
          <w:b w:val="0"/>
          <w:noProof/>
          <w:lang w:val="en-150" w:eastAsia="en-150"/>
        </w:rPr>
      </w:pPr>
      <w:r>
        <w:rPr>
          <w:noProof/>
        </w:rPr>
        <w:t>Proposal 19</w:t>
      </w:r>
      <w:r>
        <w:rPr>
          <w:rFonts w:asciiTheme="minorHAnsi" w:eastAsiaTheme="minorEastAsia" w:hAnsiTheme="minorHAnsi"/>
          <w:b w:val="0"/>
          <w:noProof/>
          <w:lang w:val="en-150" w:eastAsia="en-150"/>
        </w:rPr>
        <w:tab/>
      </w:r>
      <w:r>
        <w:rPr>
          <w:noProof/>
        </w:rPr>
        <w:t>A single MCS index is signalled for all the PUSCHs scheduled by a single DCI</w:t>
      </w:r>
    </w:p>
    <w:p w14:paraId="32CDA9B7" w14:textId="77777777" w:rsidR="0015023B" w:rsidRDefault="0015023B">
      <w:pPr>
        <w:pStyle w:val="TableofFigures"/>
        <w:tabs>
          <w:tab w:val="right" w:leader="dot" w:pos="9629"/>
        </w:tabs>
        <w:rPr>
          <w:rFonts w:asciiTheme="minorHAnsi" w:eastAsiaTheme="minorEastAsia" w:hAnsiTheme="minorHAnsi"/>
          <w:b w:val="0"/>
          <w:noProof/>
          <w:lang w:val="en-150" w:eastAsia="en-150"/>
        </w:rPr>
      </w:pPr>
      <w:r>
        <w:rPr>
          <w:noProof/>
        </w:rPr>
        <w:t>a.</w:t>
      </w:r>
      <w:r>
        <w:rPr>
          <w:rFonts w:asciiTheme="minorHAnsi" w:eastAsiaTheme="minorEastAsia" w:hAnsiTheme="minorHAnsi"/>
          <w:b w:val="0"/>
          <w:noProof/>
          <w:lang w:val="en-150" w:eastAsia="en-150"/>
        </w:rPr>
        <w:tab/>
      </w:r>
      <w:r>
        <w:rPr>
          <w:noProof/>
        </w:rPr>
        <w:t>UE applies the same behaviour for the PUSCHs scheduled for initial transmission or re-transmission (Rel-15 behaviour):</w:t>
      </w:r>
    </w:p>
    <w:p w14:paraId="16F4ADF2" w14:textId="77777777" w:rsidR="0015023B" w:rsidRDefault="0015023B">
      <w:pPr>
        <w:pStyle w:val="TableofFigures"/>
        <w:tabs>
          <w:tab w:val="right" w:leader="dot" w:pos="9629"/>
        </w:tabs>
        <w:rPr>
          <w:rFonts w:asciiTheme="minorHAnsi" w:eastAsiaTheme="minorEastAsia" w:hAnsiTheme="minorHAnsi"/>
          <w:b w:val="0"/>
          <w:noProof/>
          <w:lang w:val="en-150" w:eastAsia="en-150"/>
        </w:rPr>
      </w:pPr>
      <w:r>
        <w:rPr>
          <w:noProof/>
        </w:rPr>
        <w:t>i.</w:t>
      </w:r>
      <w:r>
        <w:rPr>
          <w:rFonts w:asciiTheme="minorHAnsi" w:eastAsiaTheme="minorEastAsia" w:hAnsiTheme="minorHAnsi"/>
          <w:b w:val="0"/>
          <w:noProof/>
          <w:lang w:val="en-150" w:eastAsia="en-150"/>
        </w:rPr>
        <w:tab/>
      </w:r>
      <w:r>
        <w:rPr>
          <w:noProof/>
        </w:rPr>
        <w:t>If MCS row 0-27 is indicated: the UE determines the TB size based on the explicitly indicated MCS</w:t>
      </w:r>
    </w:p>
    <w:p w14:paraId="43C1D5EF" w14:textId="77777777" w:rsidR="0015023B" w:rsidRDefault="0015023B">
      <w:pPr>
        <w:pStyle w:val="TableofFigures"/>
        <w:tabs>
          <w:tab w:val="right" w:leader="dot" w:pos="9629"/>
        </w:tabs>
        <w:rPr>
          <w:rFonts w:asciiTheme="minorHAnsi" w:eastAsiaTheme="minorEastAsia" w:hAnsiTheme="minorHAnsi"/>
          <w:b w:val="0"/>
          <w:noProof/>
          <w:lang w:val="en-150" w:eastAsia="en-150"/>
        </w:rPr>
      </w:pPr>
      <w:r>
        <w:rPr>
          <w:noProof/>
        </w:rPr>
        <w:t>ii.</w:t>
      </w:r>
      <w:r>
        <w:rPr>
          <w:rFonts w:asciiTheme="minorHAnsi" w:eastAsiaTheme="minorEastAsia" w:hAnsiTheme="minorHAnsi"/>
          <w:b w:val="0"/>
          <w:noProof/>
          <w:lang w:val="en-150" w:eastAsia="en-150"/>
        </w:rPr>
        <w:tab/>
      </w:r>
      <w:r>
        <w:rPr>
          <w:noProof/>
        </w:rPr>
        <w:t>If MCS row 28-31 is indicated: the UE refers to the DCI scheduling the initial PUSCH to determine the TB size</w:t>
      </w:r>
    </w:p>
    <w:p w14:paraId="40BDEC25" w14:textId="6FCDA03D" w:rsidR="00D07B23" w:rsidRPr="008A0EB7" w:rsidRDefault="00F20A10" w:rsidP="006E1C82">
      <w:pPr>
        <w:pStyle w:val="BodyText"/>
        <w:rPr>
          <w:rFonts w:asciiTheme="minorHAnsi" w:hAnsiTheme="minorHAnsi" w:cstheme="minorHAnsi"/>
        </w:rPr>
      </w:pPr>
      <w:r>
        <w:rPr>
          <w:rFonts w:asciiTheme="minorHAnsi" w:hAnsiTheme="minorHAnsi" w:cstheme="minorHAnsi"/>
          <w:b/>
          <w:bCs/>
        </w:rPr>
        <w:fldChar w:fldCharType="end"/>
      </w:r>
    </w:p>
    <w:p w14:paraId="2127DE88" w14:textId="4F8E9300" w:rsidR="005045A9" w:rsidRDefault="00D875B3" w:rsidP="0010443B">
      <w:pPr>
        <w:pStyle w:val="Heading1"/>
      </w:pPr>
      <w:bookmarkStart w:id="448" w:name="_In-sequence_SDU_delivery"/>
      <w:bookmarkEnd w:id="448"/>
      <w:r>
        <w:t>R</w:t>
      </w:r>
      <w:r w:rsidR="005045A9" w:rsidRPr="005045A9">
        <w:t>eferences</w:t>
      </w:r>
    </w:p>
    <w:p w14:paraId="681E720F" w14:textId="4C9BC11A" w:rsidR="008B13DF" w:rsidRDefault="008B13DF" w:rsidP="00104456">
      <w:pPr>
        <w:pStyle w:val="Reference"/>
        <w:widowControl w:val="0"/>
        <w:kinsoku w:val="0"/>
        <w:snapToGrid w:val="0"/>
        <w:rPr>
          <w:rFonts w:asciiTheme="minorHAnsi" w:hAnsiTheme="minorHAnsi" w:cstheme="minorHAnsi"/>
        </w:rPr>
      </w:pPr>
      <w:r w:rsidRPr="005D7F44">
        <w:rPr>
          <w:rFonts w:asciiTheme="minorHAnsi" w:hAnsiTheme="minorHAnsi" w:cstheme="minorHAnsi"/>
        </w:rPr>
        <w:t>RAN1 Chairman’s Notes, RAN1#9</w:t>
      </w:r>
      <w:r>
        <w:rPr>
          <w:rFonts w:asciiTheme="minorHAnsi" w:hAnsiTheme="minorHAnsi" w:cstheme="minorHAnsi"/>
        </w:rPr>
        <w:t>8</w:t>
      </w:r>
      <w:r w:rsidRPr="005D7F44">
        <w:rPr>
          <w:rFonts w:asciiTheme="minorHAnsi" w:hAnsiTheme="minorHAnsi" w:cstheme="minorHAnsi"/>
        </w:rPr>
        <w:t xml:space="preserve">, </w:t>
      </w:r>
      <w:r>
        <w:rPr>
          <w:rFonts w:asciiTheme="minorHAnsi" w:hAnsiTheme="minorHAnsi" w:cstheme="minorHAnsi"/>
        </w:rPr>
        <w:t>August</w:t>
      </w:r>
      <w:r w:rsidRPr="005D7F44">
        <w:rPr>
          <w:rFonts w:asciiTheme="minorHAnsi" w:hAnsiTheme="minorHAnsi" w:cstheme="minorHAnsi"/>
        </w:rPr>
        <w:t xml:space="preserve"> 2019</w:t>
      </w:r>
    </w:p>
    <w:p w14:paraId="4466913F" w14:textId="6EE9FB71" w:rsidR="00104456" w:rsidRPr="005D7F44" w:rsidRDefault="00104456" w:rsidP="00104456">
      <w:pPr>
        <w:pStyle w:val="Reference"/>
        <w:widowControl w:val="0"/>
        <w:kinsoku w:val="0"/>
        <w:snapToGrid w:val="0"/>
        <w:rPr>
          <w:rFonts w:asciiTheme="minorHAnsi" w:hAnsiTheme="minorHAnsi" w:cstheme="minorHAnsi"/>
        </w:rPr>
      </w:pPr>
      <w:r w:rsidRPr="005D7F44">
        <w:rPr>
          <w:rFonts w:asciiTheme="minorHAnsi" w:hAnsiTheme="minorHAnsi" w:cstheme="minorHAnsi"/>
        </w:rPr>
        <w:t>RAN1 Chairman’s Notes, RAN1#</w:t>
      </w:r>
      <w:r w:rsidR="00B96944">
        <w:rPr>
          <w:rFonts w:asciiTheme="minorHAnsi" w:hAnsiTheme="minorHAnsi" w:cstheme="minorHAnsi"/>
        </w:rPr>
        <w:t>98bis</w:t>
      </w:r>
      <w:r w:rsidRPr="005D7F44">
        <w:rPr>
          <w:rFonts w:asciiTheme="minorHAnsi" w:hAnsiTheme="minorHAnsi" w:cstheme="minorHAnsi"/>
        </w:rPr>
        <w:t xml:space="preserve">, </w:t>
      </w:r>
      <w:r w:rsidR="00447A0E">
        <w:rPr>
          <w:rFonts w:asciiTheme="minorHAnsi" w:hAnsiTheme="minorHAnsi" w:cstheme="minorHAnsi"/>
        </w:rPr>
        <w:t>April</w:t>
      </w:r>
      <w:r w:rsidRPr="005D7F44">
        <w:rPr>
          <w:rFonts w:asciiTheme="minorHAnsi" w:hAnsiTheme="minorHAnsi" w:cstheme="minorHAnsi"/>
        </w:rPr>
        <w:t xml:space="preserve"> 2019</w:t>
      </w:r>
    </w:p>
    <w:p w14:paraId="6D2C13B5" w14:textId="4CC92099" w:rsidR="007A5582" w:rsidRPr="005D7F44" w:rsidRDefault="00211C68" w:rsidP="005045A9">
      <w:pPr>
        <w:pStyle w:val="Reference"/>
        <w:widowControl w:val="0"/>
        <w:kinsoku w:val="0"/>
        <w:snapToGrid w:val="0"/>
        <w:rPr>
          <w:rFonts w:asciiTheme="minorHAnsi" w:hAnsiTheme="minorHAnsi" w:cstheme="minorHAnsi"/>
        </w:rPr>
      </w:pPr>
      <w:r w:rsidRPr="002422CF">
        <w:rPr>
          <w:rFonts w:asciiTheme="minorHAnsi" w:hAnsiTheme="minorHAnsi" w:cstheme="minorHAnsi"/>
        </w:rPr>
        <w:t xml:space="preserve">R1-1911099, </w:t>
      </w:r>
      <w:r w:rsidR="007A5582" w:rsidRPr="002422CF">
        <w:rPr>
          <w:rFonts w:asciiTheme="minorHAnsi" w:hAnsiTheme="minorHAnsi" w:cstheme="minorHAnsi"/>
        </w:rPr>
        <w:t>Enhancements to Scheduling and HARQ operation for NR-U</w:t>
      </w:r>
      <w:r w:rsidRPr="002422CF">
        <w:rPr>
          <w:rFonts w:asciiTheme="minorHAnsi" w:hAnsiTheme="minorHAnsi" w:cstheme="minorHAnsi"/>
        </w:rPr>
        <w:t>, Qualcomm, RAN1#98bis</w:t>
      </w:r>
      <w:r w:rsidR="007A5582" w:rsidRPr="002422CF">
        <w:rPr>
          <w:rFonts w:asciiTheme="minorHAnsi" w:hAnsiTheme="minorHAnsi" w:cstheme="minorHAnsi"/>
        </w:rPr>
        <w:t xml:space="preserve">                                </w:t>
      </w:r>
    </w:p>
    <w:p w14:paraId="04E3EA1B" w14:textId="781D547D" w:rsidR="007B52BB" w:rsidRPr="005D7F44" w:rsidRDefault="007B52BB" w:rsidP="005045A9">
      <w:pPr>
        <w:pStyle w:val="Reference"/>
        <w:numPr>
          <w:ilvl w:val="0"/>
          <w:numId w:val="0"/>
        </w:numPr>
        <w:rPr>
          <w:rFonts w:asciiTheme="minorHAnsi" w:hAnsiTheme="minorHAnsi" w:cstheme="minorHAnsi"/>
        </w:rPr>
      </w:pPr>
    </w:p>
    <w:sectPr w:rsidR="007B52BB" w:rsidRPr="005D7F44" w:rsidSect="008A0EB7">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F05CA3" w14:textId="77777777" w:rsidR="00534C6A" w:rsidRDefault="00534C6A">
      <w:r>
        <w:separator/>
      </w:r>
    </w:p>
  </w:endnote>
  <w:endnote w:type="continuationSeparator" w:id="0">
    <w:p w14:paraId="3C24C72C" w14:textId="77777777" w:rsidR="00534C6A" w:rsidRDefault="00534C6A">
      <w:r>
        <w:continuationSeparator/>
      </w:r>
    </w:p>
  </w:endnote>
  <w:endnote w:type="continuationNotice" w:id="1">
    <w:p w14:paraId="29192701" w14:textId="77777777" w:rsidR="00534C6A" w:rsidRDefault="00534C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Gautami">
    <w:panose1 w:val="02000500000000000000"/>
    <w:charset w:val="00"/>
    <w:family w:val="swiss"/>
    <w:pitch w:val="variable"/>
    <w:sig w:usb0="002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DengXian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E5CDF0" w14:textId="4EC67FB6" w:rsidR="00D265EB" w:rsidRDefault="00D265EB"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B10A65" w14:textId="77777777" w:rsidR="00534C6A" w:rsidRDefault="00534C6A">
      <w:r>
        <w:separator/>
      </w:r>
    </w:p>
  </w:footnote>
  <w:footnote w:type="continuationSeparator" w:id="0">
    <w:p w14:paraId="21A420C9" w14:textId="77777777" w:rsidR="00534C6A" w:rsidRDefault="00534C6A">
      <w:r>
        <w:continuationSeparator/>
      </w:r>
    </w:p>
  </w:footnote>
  <w:footnote w:type="continuationNotice" w:id="1">
    <w:p w14:paraId="4A266602" w14:textId="77777777" w:rsidR="00534C6A" w:rsidRDefault="00534C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4A355" w14:textId="7FE438A3" w:rsidR="00D265EB" w:rsidRDefault="00D265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045601E"/>
    <w:multiLevelType w:val="hybridMultilevel"/>
    <w:tmpl w:val="652CE744"/>
    <w:lvl w:ilvl="0" w:tplc="6E3207F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2D51F26"/>
    <w:multiLevelType w:val="multilevel"/>
    <w:tmpl w:val="12D51F26"/>
    <w:lvl w:ilvl="0">
      <w:start w:val="1"/>
      <w:numFmt w:val="bullet"/>
      <w:lvlText w:val=""/>
      <w:lvlJc w:val="left"/>
      <w:pPr>
        <w:ind w:left="720" w:hanging="360"/>
      </w:pPr>
      <w:rPr>
        <w:rFonts w:ascii="Symbol" w:hAnsi="Symbol" w:hint="default"/>
      </w:rPr>
    </w:lvl>
    <w:lvl w:ilvl="1">
      <w:start w:val="4"/>
      <w:numFmt w:val="bullet"/>
      <w:lvlText w:val="-"/>
      <w:lvlJc w:val="left"/>
      <w:pPr>
        <w:ind w:left="1440" w:hanging="360"/>
      </w:pPr>
      <w:rPr>
        <w:rFonts w:ascii="Times New Roman" w:eastAsia="SimSun" w:hAnsi="Times New Roman" w:cs="Times New Roman"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BB31DC"/>
    <w:multiLevelType w:val="hybridMultilevel"/>
    <w:tmpl w:val="32960E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ADF2D0C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2383"/>
        </w:tabs>
        <w:ind w:left="2383" w:hanging="360"/>
      </w:pPr>
    </w:lvl>
    <w:lvl w:ilvl="2" w:tplc="0409001B">
      <w:start w:val="1"/>
      <w:numFmt w:val="lowerRoman"/>
      <w:lvlText w:val="%3."/>
      <w:lvlJc w:val="right"/>
      <w:pPr>
        <w:tabs>
          <w:tab w:val="num" w:pos="3103"/>
        </w:tabs>
        <w:ind w:left="3103" w:hanging="180"/>
      </w:pPr>
    </w:lvl>
    <w:lvl w:ilvl="3" w:tplc="0409000F">
      <w:start w:val="1"/>
      <w:numFmt w:val="decimal"/>
      <w:lvlText w:val="%4."/>
      <w:lvlJc w:val="left"/>
      <w:pPr>
        <w:tabs>
          <w:tab w:val="num" w:pos="3823"/>
        </w:tabs>
        <w:ind w:left="3823" w:hanging="360"/>
      </w:pPr>
    </w:lvl>
    <w:lvl w:ilvl="4" w:tplc="04090019">
      <w:start w:val="1"/>
      <w:numFmt w:val="lowerLetter"/>
      <w:lvlText w:val="%5."/>
      <w:lvlJc w:val="left"/>
      <w:pPr>
        <w:tabs>
          <w:tab w:val="num" w:pos="4543"/>
        </w:tabs>
        <w:ind w:left="4543" w:hanging="360"/>
      </w:pPr>
    </w:lvl>
    <w:lvl w:ilvl="5" w:tplc="EA4E6912">
      <w:numFmt w:val="bullet"/>
      <w:lvlText w:val="-"/>
      <w:lvlJc w:val="left"/>
      <w:pPr>
        <w:ind w:left="1494" w:hanging="360"/>
      </w:pPr>
      <w:rPr>
        <w:rFonts w:ascii="Arial" w:eastAsiaTheme="minorHAnsi" w:hAnsi="Arial" w:cs="Arial" w:hint="default"/>
      </w:rPr>
    </w:lvl>
    <w:lvl w:ilvl="6" w:tplc="0409000F" w:tentative="1">
      <w:start w:val="1"/>
      <w:numFmt w:val="decimal"/>
      <w:lvlText w:val="%7."/>
      <w:lvlJc w:val="left"/>
      <w:pPr>
        <w:tabs>
          <w:tab w:val="num" w:pos="5983"/>
        </w:tabs>
        <w:ind w:left="5983" w:hanging="360"/>
      </w:pPr>
    </w:lvl>
    <w:lvl w:ilvl="7" w:tplc="04090019" w:tentative="1">
      <w:start w:val="1"/>
      <w:numFmt w:val="lowerLetter"/>
      <w:lvlText w:val="%8."/>
      <w:lvlJc w:val="left"/>
      <w:pPr>
        <w:tabs>
          <w:tab w:val="num" w:pos="6703"/>
        </w:tabs>
        <w:ind w:left="6703" w:hanging="360"/>
      </w:pPr>
    </w:lvl>
    <w:lvl w:ilvl="8" w:tplc="0409001B" w:tentative="1">
      <w:start w:val="1"/>
      <w:numFmt w:val="lowerRoman"/>
      <w:lvlText w:val="%9."/>
      <w:lvlJc w:val="right"/>
      <w:pPr>
        <w:tabs>
          <w:tab w:val="num" w:pos="7423"/>
        </w:tabs>
        <w:ind w:left="7423"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E4091E"/>
    <w:multiLevelType w:val="multilevel"/>
    <w:tmpl w:val="05BE936A"/>
    <w:styleLink w:val="baseHeadings"/>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504" w:hanging="504"/>
      </w:pPr>
      <w:rPr>
        <w:rFonts w:hint="default"/>
      </w:rPr>
    </w:lvl>
    <w:lvl w:ilvl="2">
      <w:start w:val="1"/>
      <w:numFmt w:val="decimal"/>
      <w:pStyle w:val="Heading3"/>
      <w:lvlText w:val="%1.%2.%3"/>
      <w:lvlJc w:val="left"/>
      <w:pPr>
        <w:ind w:left="648" w:hanging="648"/>
      </w:pPr>
      <w:rPr>
        <w:rFonts w:hint="default"/>
      </w:rPr>
    </w:lvl>
    <w:lvl w:ilvl="3">
      <w:start w:val="1"/>
      <w:numFmt w:val="decimal"/>
      <w:pStyle w:val="Heading4"/>
      <w:lvlText w:val="%1.%2.%3.%4"/>
      <w:lvlJc w:val="left"/>
      <w:pPr>
        <w:ind w:left="792" w:hanging="792"/>
      </w:pPr>
      <w:rPr>
        <w:rFonts w:hint="default"/>
      </w:rPr>
    </w:lvl>
    <w:lvl w:ilvl="4">
      <w:start w:val="1"/>
      <w:numFmt w:val="decimal"/>
      <w:pStyle w:val="Heading5"/>
      <w:lvlText w:val="%1.%2.%3.%4.%5"/>
      <w:lvlJc w:val="left"/>
      <w:pPr>
        <w:ind w:left="936" w:hanging="936"/>
      </w:pPr>
      <w:rPr>
        <w:rFonts w:hint="default"/>
      </w:rPr>
    </w:lvl>
    <w:lvl w:ilvl="5">
      <w:start w:val="1"/>
      <w:numFmt w:val="lowerRoman"/>
      <w:pStyle w:val="Heading6"/>
      <w:lvlText w:val="(%6)"/>
      <w:lvlJc w:val="left"/>
      <w:pPr>
        <w:ind w:left="2160" w:hanging="360"/>
      </w:pPr>
      <w:rPr>
        <w:rFonts w:hint="default"/>
      </w:rPr>
    </w:lvl>
    <w:lvl w:ilvl="6">
      <w:start w:val="1"/>
      <w:numFmt w:val="decimal"/>
      <w:pStyle w:val="Heading7"/>
      <w:lvlText w:val="%7."/>
      <w:lvlJc w:val="left"/>
      <w:pPr>
        <w:ind w:left="2520" w:hanging="360"/>
      </w:pPr>
      <w:rPr>
        <w:rFonts w:hint="default"/>
      </w:rPr>
    </w:lvl>
    <w:lvl w:ilvl="7">
      <w:start w:val="1"/>
      <w:numFmt w:val="lowerLetter"/>
      <w:pStyle w:val="Heading8"/>
      <w:lvlText w:val="%8."/>
      <w:lvlJc w:val="left"/>
      <w:pPr>
        <w:ind w:left="2880" w:hanging="360"/>
      </w:pPr>
      <w:rPr>
        <w:rFonts w:hint="default"/>
      </w:rPr>
    </w:lvl>
    <w:lvl w:ilvl="8">
      <w:start w:val="1"/>
      <w:numFmt w:val="lowerRoman"/>
      <w:pStyle w:val="Heading9"/>
      <w:lvlText w:val="%9."/>
      <w:lvlJc w:val="left"/>
      <w:pPr>
        <w:ind w:left="3240" w:hanging="360"/>
      </w:pPr>
      <w:rPr>
        <w:rFonts w:hint="default"/>
      </w:rPr>
    </w:lvl>
  </w:abstractNum>
  <w:abstractNum w:abstractNumId="13" w15:restartNumberingAfterBreak="0">
    <w:nsid w:val="5101505E"/>
    <w:multiLevelType w:val="hybridMultilevel"/>
    <w:tmpl w:val="4392C488"/>
    <w:lvl w:ilvl="0" w:tplc="3CEA26B6">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AF70B99"/>
    <w:multiLevelType w:val="multilevel"/>
    <w:tmpl w:val="05BE936A"/>
    <w:numStyleLink w:val="baseHeadings"/>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2B13035"/>
    <w:multiLevelType w:val="hybridMultilevel"/>
    <w:tmpl w:val="D8642722"/>
    <w:lvl w:ilvl="0" w:tplc="210C130A">
      <w:start w:val="2"/>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1"/>
  </w:num>
  <w:num w:numId="2">
    <w:abstractNumId w:val="10"/>
  </w:num>
  <w:num w:numId="3">
    <w:abstractNumId w:val="0"/>
  </w:num>
  <w:num w:numId="4">
    <w:abstractNumId w:val="13"/>
  </w:num>
  <w:num w:numId="5">
    <w:abstractNumId w:val="14"/>
  </w:num>
  <w:num w:numId="6">
    <w:abstractNumId w:val="16"/>
  </w:num>
  <w:num w:numId="7">
    <w:abstractNumId w:val="4"/>
  </w:num>
  <w:num w:numId="8">
    <w:abstractNumId w:val="5"/>
  </w:num>
  <w:num w:numId="9">
    <w:abstractNumId w:val="1"/>
  </w:num>
  <w:num w:numId="10">
    <w:abstractNumId w:val="19"/>
  </w:num>
  <w:num w:numId="11">
    <w:abstractNumId w:val="6"/>
  </w:num>
  <w:num w:numId="12">
    <w:abstractNumId w:val="17"/>
  </w:num>
  <w:num w:numId="13">
    <w:abstractNumId w:val="2"/>
  </w:num>
  <w:num w:numId="14">
    <w:abstractNumId w:val="18"/>
  </w:num>
  <w:num w:numId="15">
    <w:abstractNumId w:val="12"/>
  </w:num>
  <w:num w:numId="16">
    <w:abstractNumId w:val="15"/>
  </w:num>
  <w:num w:numId="17">
    <w:abstractNumId w:val="9"/>
  </w:num>
  <w:num w:numId="18">
    <w:abstractNumId w:val="3"/>
  </w:num>
  <w:num w:numId="19">
    <w:abstractNumId w:val="3"/>
  </w:num>
  <w:num w:numId="20">
    <w:abstractNumId w:val="8"/>
  </w:num>
  <w:num w:numId="21">
    <w:abstractNumId w:val="7"/>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AU" w:vendorID="64" w:dllVersion="0" w:nlCheck="1" w:checkStyle="0"/>
  <w:activeWritingStyle w:appName="MSWord" w:lang="en-150" w:vendorID="64" w:dllVersion="0" w:nlCheck="1" w:checkStyle="0"/>
  <w:activeWritingStyle w:appName="MSWord" w:lang="en-150"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E25"/>
    <w:rsid w:val="00000032"/>
    <w:rsid w:val="000004A8"/>
    <w:rsid w:val="000006E1"/>
    <w:rsid w:val="000008C9"/>
    <w:rsid w:val="00000AD7"/>
    <w:rsid w:val="0000115F"/>
    <w:rsid w:val="000011C4"/>
    <w:rsid w:val="000014A9"/>
    <w:rsid w:val="000016E3"/>
    <w:rsid w:val="00001E0F"/>
    <w:rsid w:val="00002A37"/>
    <w:rsid w:val="00002E3E"/>
    <w:rsid w:val="00003718"/>
    <w:rsid w:val="0000392D"/>
    <w:rsid w:val="00004178"/>
    <w:rsid w:val="00004424"/>
    <w:rsid w:val="0000479E"/>
    <w:rsid w:val="00004919"/>
    <w:rsid w:val="0000564C"/>
    <w:rsid w:val="000057EF"/>
    <w:rsid w:val="000058EC"/>
    <w:rsid w:val="00006446"/>
    <w:rsid w:val="000067CB"/>
    <w:rsid w:val="00006896"/>
    <w:rsid w:val="00006C6E"/>
    <w:rsid w:val="00007CDC"/>
    <w:rsid w:val="000101A4"/>
    <w:rsid w:val="00010A88"/>
    <w:rsid w:val="00011B28"/>
    <w:rsid w:val="00012993"/>
    <w:rsid w:val="00012C1B"/>
    <w:rsid w:val="00013957"/>
    <w:rsid w:val="00014000"/>
    <w:rsid w:val="00014A22"/>
    <w:rsid w:val="00015A51"/>
    <w:rsid w:val="00015D15"/>
    <w:rsid w:val="0001619D"/>
    <w:rsid w:val="00017B6D"/>
    <w:rsid w:val="000209E9"/>
    <w:rsid w:val="00020C56"/>
    <w:rsid w:val="00020F9B"/>
    <w:rsid w:val="00021904"/>
    <w:rsid w:val="00022AEE"/>
    <w:rsid w:val="00022C67"/>
    <w:rsid w:val="00023878"/>
    <w:rsid w:val="00024FE3"/>
    <w:rsid w:val="0002564D"/>
    <w:rsid w:val="00025ECA"/>
    <w:rsid w:val="0002725F"/>
    <w:rsid w:val="00027F80"/>
    <w:rsid w:val="000325B8"/>
    <w:rsid w:val="00032CCF"/>
    <w:rsid w:val="000333BC"/>
    <w:rsid w:val="00034390"/>
    <w:rsid w:val="00034C15"/>
    <w:rsid w:val="0003503F"/>
    <w:rsid w:val="00035635"/>
    <w:rsid w:val="00035E0C"/>
    <w:rsid w:val="00036BA1"/>
    <w:rsid w:val="00040758"/>
    <w:rsid w:val="00041923"/>
    <w:rsid w:val="000422E2"/>
    <w:rsid w:val="000424C6"/>
    <w:rsid w:val="0004259F"/>
    <w:rsid w:val="00042F22"/>
    <w:rsid w:val="00043FC3"/>
    <w:rsid w:val="000444EF"/>
    <w:rsid w:val="000448E9"/>
    <w:rsid w:val="00044905"/>
    <w:rsid w:val="00044916"/>
    <w:rsid w:val="00045108"/>
    <w:rsid w:val="000452DB"/>
    <w:rsid w:val="0004550C"/>
    <w:rsid w:val="000465AB"/>
    <w:rsid w:val="000507CC"/>
    <w:rsid w:val="00050D3D"/>
    <w:rsid w:val="0005250B"/>
    <w:rsid w:val="0005264B"/>
    <w:rsid w:val="00052A07"/>
    <w:rsid w:val="00052CE8"/>
    <w:rsid w:val="000534E3"/>
    <w:rsid w:val="0005606A"/>
    <w:rsid w:val="000562A5"/>
    <w:rsid w:val="0005641B"/>
    <w:rsid w:val="000569B3"/>
    <w:rsid w:val="00056F4A"/>
    <w:rsid w:val="00056FA6"/>
    <w:rsid w:val="00057117"/>
    <w:rsid w:val="00060A25"/>
    <w:rsid w:val="000611B0"/>
    <w:rsid w:val="0006157A"/>
    <w:rsid w:val="000616E7"/>
    <w:rsid w:val="00061D27"/>
    <w:rsid w:val="00061E6C"/>
    <w:rsid w:val="000629B2"/>
    <w:rsid w:val="0006412F"/>
    <w:rsid w:val="0006487E"/>
    <w:rsid w:val="00064F63"/>
    <w:rsid w:val="00065E1A"/>
    <w:rsid w:val="0006725E"/>
    <w:rsid w:val="000677C8"/>
    <w:rsid w:val="0007001A"/>
    <w:rsid w:val="000737A2"/>
    <w:rsid w:val="0007458D"/>
    <w:rsid w:val="00074FF0"/>
    <w:rsid w:val="00075533"/>
    <w:rsid w:val="00076E7C"/>
    <w:rsid w:val="0007778B"/>
    <w:rsid w:val="00077E5F"/>
    <w:rsid w:val="0008036A"/>
    <w:rsid w:val="00080E05"/>
    <w:rsid w:val="000814F2"/>
    <w:rsid w:val="00081AE6"/>
    <w:rsid w:val="00081DD2"/>
    <w:rsid w:val="00082D84"/>
    <w:rsid w:val="00083715"/>
    <w:rsid w:val="00083CC4"/>
    <w:rsid w:val="00084F79"/>
    <w:rsid w:val="000852FC"/>
    <w:rsid w:val="000855EB"/>
    <w:rsid w:val="00085B52"/>
    <w:rsid w:val="00086254"/>
    <w:rsid w:val="0008663B"/>
    <w:rsid w:val="000866F2"/>
    <w:rsid w:val="0008757C"/>
    <w:rsid w:val="00087F2C"/>
    <w:rsid w:val="0009009F"/>
    <w:rsid w:val="00090F8A"/>
    <w:rsid w:val="0009108E"/>
    <w:rsid w:val="00091557"/>
    <w:rsid w:val="000915DB"/>
    <w:rsid w:val="00092271"/>
    <w:rsid w:val="000924C1"/>
    <w:rsid w:val="000924F0"/>
    <w:rsid w:val="0009268E"/>
    <w:rsid w:val="000929E4"/>
    <w:rsid w:val="00092A11"/>
    <w:rsid w:val="00093474"/>
    <w:rsid w:val="00093EAF"/>
    <w:rsid w:val="0009510F"/>
    <w:rsid w:val="0009648E"/>
    <w:rsid w:val="00097F5E"/>
    <w:rsid w:val="000A03C4"/>
    <w:rsid w:val="000A07CC"/>
    <w:rsid w:val="000A1B7B"/>
    <w:rsid w:val="000A1CA7"/>
    <w:rsid w:val="000A1D5B"/>
    <w:rsid w:val="000A49B3"/>
    <w:rsid w:val="000A515C"/>
    <w:rsid w:val="000A5182"/>
    <w:rsid w:val="000A56F2"/>
    <w:rsid w:val="000A5A11"/>
    <w:rsid w:val="000A63C6"/>
    <w:rsid w:val="000A6FFA"/>
    <w:rsid w:val="000B2719"/>
    <w:rsid w:val="000B339E"/>
    <w:rsid w:val="000B3A8F"/>
    <w:rsid w:val="000B4AB9"/>
    <w:rsid w:val="000B4FBF"/>
    <w:rsid w:val="000B5253"/>
    <w:rsid w:val="000B56A8"/>
    <w:rsid w:val="000B58C3"/>
    <w:rsid w:val="000B5AE5"/>
    <w:rsid w:val="000B5DA4"/>
    <w:rsid w:val="000B5DB3"/>
    <w:rsid w:val="000B61E9"/>
    <w:rsid w:val="000B6B83"/>
    <w:rsid w:val="000B78D9"/>
    <w:rsid w:val="000B7E77"/>
    <w:rsid w:val="000C08F1"/>
    <w:rsid w:val="000C09B7"/>
    <w:rsid w:val="000C165A"/>
    <w:rsid w:val="000C19D2"/>
    <w:rsid w:val="000C1DAB"/>
    <w:rsid w:val="000C2E19"/>
    <w:rsid w:val="000C4441"/>
    <w:rsid w:val="000C4660"/>
    <w:rsid w:val="000C4EE6"/>
    <w:rsid w:val="000C583D"/>
    <w:rsid w:val="000C6584"/>
    <w:rsid w:val="000C717F"/>
    <w:rsid w:val="000D071A"/>
    <w:rsid w:val="000D0D07"/>
    <w:rsid w:val="000D2697"/>
    <w:rsid w:val="000D368A"/>
    <w:rsid w:val="000D4797"/>
    <w:rsid w:val="000D479F"/>
    <w:rsid w:val="000D5BEF"/>
    <w:rsid w:val="000D5DB1"/>
    <w:rsid w:val="000D6111"/>
    <w:rsid w:val="000D6A0F"/>
    <w:rsid w:val="000D6E10"/>
    <w:rsid w:val="000E0527"/>
    <w:rsid w:val="000E1686"/>
    <w:rsid w:val="000E1E92"/>
    <w:rsid w:val="000E1FC7"/>
    <w:rsid w:val="000E2194"/>
    <w:rsid w:val="000E2925"/>
    <w:rsid w:val="000E3FFC"/>
    <w:rsid w:val="000E4355"/>
    <w:rsid w:val="000E53BB"/>
    <w:rsid w:val="000E5EFA"/>
    <w:rsid w:val="000E6752"/>
    <w:rsid w:val="000E7DFB"/>
    <w:rsid w:val="000E7FF0"/>
    <w:rsid w:val="000F06D6"/>
    <w:rsid w:val="000F0CEB"/>
    <w:rsid w:val="000F0EB1"/>
    <w:rsid w:val="000F1106"/>
    <w:rsid w:val="000F1576"/>
    <w:rsid w:val="000F18C9"/>
    <w:rsid w:val="000F24AF"/>
    <w:rsid w:val="000F289D"/>
    <w:rsid w:val="000F363D"/>
    <w:rsid w:val="000F3BE9"/>
    <w:rsid w:val="000F3F6C"/>
    <w:rsid w:val="000F4539"/>
    <w:rsid w:val="000F651D"/>
    <w:rsid w:val="000F6DF3"/>
    <w:rsid w:val="000F6EF4"/>
    <w:rsid w:val="000F6F10"/>
    <w:rsid w:val="000F71F7"/>
    <w:rsid w:val="000F7474"/>
    <w:rsid w:val="000F7882"/>
    <w:rsid w:val="000F79F3"/>
    <w:rsid w:val="001005FF"/>
    <w:rsid w:val="00100C0E"/>
    <w:rsid w:val="001013A6"/>
    <w:rsid w:val="001017F5"/>
    <w:rsid w:val="00102144"/>
    <w:rsid w:val="00102951"/>
    <w:rsid w:val="0010443B"/>
    <w:rsid w:val="00104456"/>
    <w:rsid w:val="0010487F"/>
    <w:rsid w:val="0010513A"/>
    <w:rsid w:val="00105754"/>
    <w:rsid w:val="001062FB"/>
    <w:rsid w:val="001063E6"/>
    <w:rsid w:val="00106B29"/>
    <w:rsid w:val="00106F41"/>
    <w:rsid w:val="00106FBA"/>
    <w:rsid w:val="0010712F"/>
    <w:rsid w:val="0010774C"/>
    <w:rsid w:val="00107B68"/>
    <w:rsid w:val="00110CB0"/>
    <w:rsid w:val="00110D70"/>
    <w:rsid w:val="001111F9"/>
    <w:rsid w:val="00111974"/>
    <w:rsid w:val="00112331"/>
    <w:rsid w:val="001124F0"/>
    <w:rsid w:val="00113CF4"/>
    <w:rsid w:val="00113E78"/>
    <w:rsid w:val="001153EA"/>
    <w:rsid w:val="00115643"/>
    <w:rsid w:val="00116765"/>
    <w:rsid w:val="00116E70"/>
    <w:rsid w:val="001172AC"/>
    <w:rsid w:val="001215AE"/>
    <w:rsid w:val="001219F5"/>
    <w:rsid w:val="00121A20"/>
    <w:rsid w:val="00123117"/>
    <w:rsid w:val="0012377F"/>
    <w:rsid w:val="001238DC"/>
    <w:rsid w:val="0012429F"/>
    <w:rsid w:val="00124314"/>
    <w:rsid w:val="00124D3A"/>
    <w:rsid w:val="00125007"/>
    <w:rsid w:val="00125082"/>
    <w:rsid w:val="00126B4A"/>
    <w:rsid w:val="0013185B"/>
    <w:rsid w:val="00132FD0"/>
    <w:rsid w:val="001337E2"/>
    <w:rsid w:val="001341C9"/>
    <w:rsid w:val="001344C0"/>
    <w:rsid w:val="001346FA"/>
    <w:rsid w:val="00135252"/>
    <w:rsid w:val="00136066"/>
    <w:rsid w:val="00136466"/>
    <w:rsid w:val="00137584"/>
    <w:rsid w:val="00137AB5"/>
    <w:rsid w:val="00137F0B"/>
    <w:rsid w:val="00140389"/>
    <w:rsid w:val="00143025"/>
    <w:rsid w:val="00143028"/>
    <w:rsid w:val="00143F7F"/>
    <w:rsid w:val="0015023B"/>
    <w:rsid w:val="001508C0"/>
    <w:rsid w:val="0015132E"/>
    <w:rsid w:val="00151E23"/>
    <w:rsid w:val="00151F08"/>
    <w:rsid w:val="0015227F"/>
    <w:rsid w:val="001526E0"/>
    <w:rsid w:val="001543FE"/>
    <w:rsid w:val="00154918"/>
    <w:rsid w:val="00154D74"/>
    <w:rsid w:val="001551B5"/>
    <w:rsid w:val="00155A51"/>
    <w:rsid w:val="00156A0C"/>
    <w:rsid w:val="00156DE2"/>
    <w:rsid w:val="0015731B"/>
    <w:rsid w:val="001619A1"/>
    <w:rsid w:val="00161BEC"/>
    <w:rsid w:val="00161E5D"/>
    <w:rsid w:val="00162AFC"/>
    <w:rsid w:val="00162BB1"/>
    <w:rsid w:val="0016398C"/>
    <w:rsid w:val="00164D24"/>
    <w:rsid w:val="001659C1"/>
    <w:rsid w:val="001669AB"/>
    <w:rsid w:val="001672F5"/>
    <w:rsid w:val="0017096F"/>
    <w:rsid w:val="00170F38"/>
    <w:rsid w:val="001713B4"/>
    <w:rsid w:val="001723C3"/>
    <w:rsid w:val="00173445"/>
    <w:rsid w:val="00173A8E"/>
    <w:rsid w:val="00173D47"/>
    <w:rsid w:val="00173DF5"/>
    <w:rsid w:val="00174067"/>
    <w:rsid w:val="0017502C"/>
    <w:rsid w:val="00175D97"/>
    <w:rsid w:val="00176989"/>
    <w:rsid w:val="00180288"/>
    <w:rsid w:val="0018143F"/>
    <w:rsid w:val="001817EB"/>
    <w:rsid w:val="00181B03"/>
    <w:rsid w:val="00181F72"/>
    <w:rsid w:val="00181FF8"/>
    <w:rsid w:val="00182B53"/>
    <w:rsid w:val="00184A2D"/>
    <w:rsid w:val="00184CE6"/>
    <w:rsid w:val="0018614C"/>
    <w:rsid w:val="001866C0"/>
    <w:rsid w:val="0018715D"/>
    <w:rsid w:val="00190AC1"/>
    <w:rsid w:val="00191148"/>
    <w:rsid w:val="00191EF4"/>
    <w:rsid w:val="00192047"/>
    <w:rsid w:val="0019341A"/>
    <w:rsid w:val="0019440E"/>
    <w:rsid w:val="00194A2A"/>
    <w:rsid w:val="00196AD0"/>
    <w:rsid w:val="00197279"/>
    <w:rsid w:val="00197DF9"/>
    <w:rsid w:val="001A091E"/>
    <w:rsid w:val="001A1987"/>
    <w:rsid w:val="001A1C26"/>
    <w:rsid w:val="001A2564"/>
    <w:rsid w:val="001A3979"/>
    <w:rsid w:val="001A5726"/>
    <w:rsid w:val="001A6173"/>
    <w:rsid w:val="001A69D7"/>
    <w:rsid w:val="001A6AE6"/>
    <w:rsid w:val="001A6CBA"/>
    <w:rsid w:val="001A72C4"/>
    <w:rsid w:val="001A7DF9"/>
    <w:rsid w:val="001B0D97"/>
    <w:rsid w:val="001B0F87"/>
    <w:rsid w:val="001B1141"/>
    <w:rsid w:val="001B2546"/>
    <w:rsid w:val="001B26A1"/>
    <w:rsid w:val="001B3014"/>
    <w:rsid w:val="001B38EF"/>
    <w:rsid w:val="001B5A5D"/>
    <w:rsid w:val="001B5CDF"/>
    <w:rsid w:val="001C17BC"/>
    <w:rsid w:val="001C1CE5"/>
    <w:rsid w:val="001C1EA8"/>
    <w:rsid w:val="001C3D2A"/>
    <w:rsid w:val="001C411C"/>
    <w:rsid w:val="001C51C6"/>
    <w:rsid w:val="001D0677"/>
    <w:rsid w:val="001D1166"/>
    <w:rsid w:val="001D1379"/>
    <w:rsid w:val="001D146A"/>
    <w:rsid w:val="001D409B"/>
    <w:rsid w:val="001D4F59"/>
    <w:rsid w:val="001D51BA"/>
    <w:rsid w:val="001D53E7"/>
    <w:rsid w:val="001D6342"/>
    <w:rsid w:val="001D6B5A"/>
    <w:rsid w:val="001D6D53"/>
    <w:rsid w:val="001D7041"/>
    <w:rsid w:val="001D7059"/>
    <w:rsid w:val="001E0057"/>
    <w:rsid w:val="001E0F50"/>
    <w:rsid w:val="001E11D3"/>
    <w:rsid w:val="001E2456"/>
    <w:rsid w:val="001E32B2"/>
    <w:rsid w:val="001E44B0"/>
    <w:rsid w:val="001E58E2"/>
    <w:rsid w:val="001E6949"/>
    <w:rsid w:val="001E7A85"/>
    <w:rsid w:val="001E7AED"/>
    <w:rsid w:val="001F137F"/>
    <w:rsid w:val="001F29BF"/>
    <w:rsid w:val="001F2F2F"/>
    <w:rsid w:val="001F3916"/>
    <w:rsid w:val="001F4294"/>
    <w:rsid w:val="001F54C5"/>
    <w:rsid w:val="001F5B60"/>
    <w:rsid w:val="001F662C"/>
    <w:rsid w:val="001F6BAC"/>
    <w:rsid w:val="001F7074"/>
    <w:rsid w:val="001F7838"/>
    <w:rsid w:val="00200490"/>
    <w:rsid w:val="0020062C"/>
    <w:rsid w:val="002015BF"/>
    <w:rsid w:val="00201B0F"/>
    <w:rsid w:val="00201F3A"/>
    <w:rsid w:val="00203406"/>
    <w:rsid w:val="00203F96"/>
    <w:rsid w:val="002041B6"/>
    <w:rsid w:val="0020490D"/>
    <w:rsid w:val="00204C93"/>
    <w:rsid w:val="002051C3"/>
    <w:rsid w:val="00205BE9"/>
    <w:rsid w:val="00205D93"/>
    <w:rsid w:val="002069B2"/>
    <w:rsid w:val="00207FA3"/>
    <w:rsid w:val="00210131"/>
    <w:rsid w:val="00211C68"/>
    <w:rsid w:val="00211D09"/>
    <w:rsid w:val="002125D2"/>
    <w:rsid w:val="002128C8"/>
    <w:rsid w:val="00213F0B"/>
    <w:rsid w:val="002143A4"/>
    <w:rsid w:val="00214DA8"/>
    <w:rsid w:val="00215423"/>
    <w:rsid w:val="002158FA"/>
    <w:rsid w:val="00216450"/>
    <w:rsid w:val="0021676B"/>
    <w:rsid w:val="00217640"/>
    <w:rsid w:val="00220421"/>
    <w:rsid w:val="00220600"/>
    <w:rsid w:val="00220D83"/>
    <w:rsid w:val="00221609"/>
    <w:rsid w:val="00221F93"/>
    <w:rsid w:val="002224DB"/>
    <w:rsid w:val="002227DB"/>
    <w:rsid w:val="00223777"/>
    <w:rsid w:val="002237D3"/>
    <w:rsid w:val="00223FCB"/>
    <w:rsid w:val="002252C3"/>
    <w:rsid w:val="00225973"/>
    <w:rsid w:val="00225C54"/>
    <w:rsid w:val="0022639D"/>
    <w:rsid w:val="002276DE"/>
    <w:rsid w:val="00230444"/>
    <w:rsid w:val="00230765"/>
    <w:rsid w:val="00230D18"/>
    <w:rsid w:val="002319E4"/>
    <w:rsid w:val="0023264A"/>
    <w:rsid w:val="0023326A"/>
    <w:rsid w:val="0023335C"/>
    <w:rsid w:val="00233B67"/>
    <w:rsid w:val="00233FFD"/>
    <w:rsid w:val="00234D85"/>
    <w:rsid w:val="00235632"/>
    <w:rsid w:val="00235872"/>
    <w:rsid w:val="00236271"/>
    <w:rsid w:val="00236DC7"/>
    <w:rsid w:val="0024044C"/>
    <w:rsid w:val="00241559"/>
    <w:rsid w:val="002418E3"/>
    <w:rsid w:val="002422CF"/>
    <w:rsid w:val="002425BE"/>
    <w:rsid w:val="00242624"/>
    <w:rsid w:val="002435B3"/>
    <w:rsid w:val="002440C3"/>
    <w:rsid w:val="00244594"/>
    <w:rsid w:val="00244A98"/>
    <w:rsid w:val="002451F9"/>
    <w:rsid w:val="002452FA"/>
    <w:rsid w:val="002458EB"/>
    <w:rsid w:val="00246DC5"/>
    <w:rsid w:val="002500C8"/>
    <w:rsid w:val="002522D4"/>
    <w:rsid w:val="002529EC"/>
    <w:rsid w:val="00254366"/>
    <w:rsid w:val="00255661"/>
    <w:rsid w:val="0025597A"/>
    <w:rsid w:val="002562FD"/>
    <w:rsid w:val="00256479"/>
    <w:rsid w:val="00256AE6"/>
    <w:rsid w:val="00257543"/>
    <w:rsid w:val="00260A6D"/>
    <w:rsid w:val="002617E7"/>
    <w:rsid w:val="0026248B"/>
    <w:rsid w:val="00262B0E"/>
    <w:rsid w:val="00262E72"/>
    <w:rsid w:val="0026377D"/>
    <w:rsid w:val="00263D02"/>
    <w:rsid w:val="00264228"/>
    <w:rsid w:val="00264334"/>
    <w:rsid w:val="0026473E"/>
    <w:rsid w:val="00264FFA"/>
    <w:rsid w:val="00266214"/>
    <w:rsid w:val="00266E10"/>
    <w:rsid w:val="0026706D"/>
    <w:rsid w:val="002678DC"/>
    <w:rsid w:val="00267C83"/>
    <w:rsid w:val="00270862"/>
    <w:rsid w:val="0027144F"/>
    <w:rsid w:val="00271813"/>
    <w:rsid w:val="00271B22"/>
    <w:rsid w:val="00271CF7"/>
    <w:rsid w:val="00271F3A"/>
    <w:rsid w:val="00273278"/>
    <w:rsid w:val="002737F4"/>
    <w:rsid w:val="002738DC"/>
    <w:rsid w:val="00273EC6"/>
    <w:rsid w:val="00273F27"/>
    <w:rsid w:val="00274AC3"/>
    <w:rsid w:val="00275711"/>
    <w:rsid w:val="0027612E"/>
    <w:rsid w:val="002779AC"/>
    <w:rsid w:val="00277E6B"/>
    <w:rsid w:val="002800E8"/>
    <w:rsid w:val="002805F5"/>
    <w:rsid w:val="00280751"/>
    <w:rsid w:val="00281B6E"/>
    <w:rsid w:val="00282090"/>
    <w:rsid w:val="0028280A"/>
    <w:rsid w:val="00284B16"/>
    <w:rsid w:val="00286ACD"/>
    <w:rsid w:val="00286F3D"/>
    <w:rsid w:val="00286F6E"/>
    <w:rsid w:val="00287838"/>
    <w:rsid w:val="002907B5"/>
    <w:rsid w:val="002917FA"/>
    <w:rsid w:val="00292D1A"/>
    <w:rsid w:val="00292EB7"/>
    <w:rsid w:val="00293066"/>
    <w:rsid w:val="00294080"/>
    <w:rsid w:val="00294084"/>
    <w:rsid w:val="00294590"/>
    <w:rsid w:val="00295E7E"/>
    <w:rsid w:val="00296227"/>
    <w:rsid w:val="00296F44"/>
    <w:rsid w:val="0029777D"/>
    <w:rsid w:val="0029796A"/>
    <w:rsid w:val="00297CBC"/>
    <w:rsid w:val="002A055E"/>
    <w:rsid w:val="002A09CF"/>
    <w:rsid w:val="002A1BA5"/>
    <w:rsid w:val="002A1D4E"/>
    <w:rsid w:val="002A2447"/>
    <w:rsid w:val="002A2869"/>
    <w:rsid w:val="002A3557"/>
    <w:rsid w:val="002A37B0"/>
    <w:rsid w:val="002A4920"/>
    <w:rsid w:val="002A4CAA"/>
    <w:rsid w:val="002A4CF6"/>
    <w:rsid w:val="002A4F10"/>
    <w:rsid w:val="002A5DCA"/>
    <w:rsid w:val="002A6D94"/>
    <w:rsid w:val="002A6DF0"/>
    <w:rsid w:val="002A70BE"/>
    <w:rsid w:val="002B01A3"/>
    <w:rsid w:val="002B24D6"/>
    <w:rsid w:val="002B3BDA"/>
    <w:rsid w:val="002B6DE8"/>
    <w:rsid w:val="002B73AA"/>
    <w:rsid w:val="002B746C"/>
    <w:rsid w:val="002B7DB8"/>
    <w:rsid w:val="002C10AC"/>
    <w:rsid w:val="002C2BFB"/>
    <w:rsid w:val="002C2DFD"/>
    <w:rsid w:val="002C31D8"/>
    <w:rsid w:val="002C3E46"/>
    <w:rsid w:val="002C41E6"/>
    <w:rsid w:val="002C4837"/>
    <w:rsid w:val="002C4F40"/>
    <w:rsid w:val="002C563F"/>
    <w:rsid w:val="002C7CC3"/>
    <w:rsid w:val="002D05F0"/>
    <w:rsid w:val="002D071A"/>
    <w:rsid w:val="002D1F5B"/>
    <w:rsid w:val="002D31C8"/>
    <w:rsid w:val="002D34B2"/>
    <w:rsid w:val="002D3D77"/>
    <w:rsid w:val="002D3E54"/>
    <w:rsid w:val="002D48B0"/>
    <w:rsid w:val="002D4C2B"/>
    <w:rsid w:val="002D5224"/>
    <w:rsid w:val="002D5A7B"/>
    <w:rsid w:val="002D5B37"/>
    <w:rsid w:val="002D68FC"/>
    <w:rsid w:val="002D7637"/>
    <w:rsid w:val="002E016C"/>
    <w:rsid w:val="002E17F2"/>
    <w:rsid w:val="002E18AA"/>
    <w:rsid w:val="002E2682"/>
    <w:rsid w:val="002E2E55"/>
    <w:rsid w:val="002E2F8C"/>
    <w:rsid w:val="002E3894"/>
    <w:rsid w:val="002E38B7"/>
    <w:rsid w:val="002E4D25"/>
    <w:rsid w:val="002E59F8"/>
    <w:rsid w:val="002E5FC8"/>
    <w:rsid w:val="002E643C"/>
    <w:rsid w:val="002E6E44"/>
    <w:rsid w:val="002E78E9"/>
    <w:rsid w:val="002E7CAE"/>
    <w:rsid w:val="002E7DF1"/>
    <w:rsid w:val="002F1437"/>
    <w:rsid w:val="002F1706"/>
    <w:rsid w:val="002F1F08"/>
    <w:rsid w:val="002F2771"/>
    <w:rsid w:val="002F2ABB"/>
    <w:rsid w:val="002F37A9"/>
    <w:rsid w:val="002F43F6"/>
    <w:rsid w:val="002F4CF8"/>
    <w:rsid w:val="002F780B"/>
    <w:rsid w:val="00301CE6"/>
    <w:rsid w:val="0030256B"/>
    <w:rsid w:val="0030501F"/>
    <w:rsid w:val="003050C9"/>
    <w:rsid w:val="003055F9"/>
    <w:rsid w:val="00306CF9"/>
    <w:rsid w:val="00307702"/>
    <w:rsid w:val="00307728"/>
    <w:rsid w:val="00307BA1"/>
    <w:rsid w:val="00307FEF"/>
    <w:rsid w:val="00311702"/>
    <w:rsid w:val="00311E82"/>
    <w:rsid w:val="00312702"/>
    <w:rsid w:val="00313019"/>
    <w:rsid w:val="003132F2"/>
    <w:rsid w:val="00313390"/>
    <w:rsid w:val="003137A9"/>
    <w:rsid w:val="00313FD6"/>
    <w:rsid w:val="003143BD"/>
    <w:rsid w:val="0031514F"/>
    <w:rsid w:val="00315363"/>
    <w:rsid w:val="00316137"/>
    <w:rsid w:val="0031638D"/>
    <w:rsid w:val="003166AB"/>
    <w:rsid w:val="00316EED"/>
    <w:rsid w:val="003201A7"/>
    <w:rsid w:val="003203ED"/>
    <w:rsid w:val="00320824"/>
    <w:rsid w:val="00321D5A"/>
    <w:rsid w:val="00322C9F"/>
    <w:rsid w:val="00324119"/>
    <w:rsid w:val="00324D23"/>
    <w:rsid w:val="00325819"/>
    <w:rsid w:val="003260E8"/>
    <w:rsid w:val="00326C59"/>
    <w:rsid w:val="00327226"/>
    <w:rsid w:val="00327C2E"/>
    <w:rsid w:val="00327F0E"/>
    <w:rsid w:val="00331751"/>
    <w:rsid w:val="00331FAA"/>
    <w:rsid w:val="00333355"/>
    <w:rsid w:val="00334579"/>
    <w:rsid w:val="003345FC"/>
    <w:rsid w:val="00334C8E"/>
    <w:rsid w:val="00334CFA"/>
    <w:rsid w:val="00335735"/>
    <w:rsid w:val="00335858"/>
    <w:rsid w:val="003358B9"/>
    <w:rsid w:val="00336793"/>
    <w:rsid w:val="00336BDA"/>
    <w:rsid w:val="00337275"/>
    <w:rsid w:val="0034074D"/>
    <w:rsid w:val="003408F6"/>
    <w:rsid w:val="00341293"/>
    <w:rsid w:val="00342BD7"/>
    <w:rsid w:val="00342EAF"/>
    <w:rsid w:val="00343D86"/>
    <w:rsid w:val="00345488"/>
    <w:rsid w:val="00345B57"/>
    <w:rsid w:val="00346DB5"/>
    <w:rsid w:val="003477B1"/>
    <w:rsid w:val="00352AD3"/>
    <w:rsid w:val="00356442"/>
    <w:rsid w:val="003571DB"/>
    <w:rsid w:val="0035733F"/>
    <w:rsid w:val="00357380"/>
    <w:rsid w:val="0035772C"/>
    <w:rsid w:val="003602D9"/>
    <w:rsid w:val="003604CE"/>
    <w:rsid w:val="003605A8"/>
    <w:rsid w:val="003606D7"/>
    <w:rsid w:val="0036105B"/>
    <w:rsid w:val="0036123D"/>
    <w:rsid w:val="00361346"/>
    <w:rsid w:val="00362CDA"/>
    <w:rsid w:val="00363157"/>
    <w:rsid w:val="0036337B"/>
    <w:rsid w:val="00363C56"/>
    <w:rsid w:val="003647EC"/>
    <w:rsid w:val="00365646"/>
    <w:rsid w:val="0036584B"/>
    <w:rsid w:val="00366098"/>
    <w:rsid w:val="00366351"/>
    <w:rsid w:val="00366C56"/>
    <w:rsid w:val="00370B52"/>
    <w:rsid w:val="00370D27"/>
    <w:rsid w:val="00370D51"/>
    <w:rsid w:val="00370E47"/>
    <w:rsid w:val="0037105B"/>
    <w:rsid w:val="00371659"/>
    <w:rsid w:val="003742AC"/>
    <w:rsid w:val="00374719"/>
    <w:rsid w:val="003758B7"/>
    <w:rsid w:val="00376F1C"/>
    <w:rsid w:val="0037758F"/>
    <w:rsid w:val="00377CE1"/>
    <w:rsid w:val="003816FB"/>
    <w:rsid w:val="00381783"/>
    <w:rsid w:val="003827AE"/>
    <w:rsid w:val="00382987"/>
    <w:rsid w:val="003829E8"/>
    <w:rsid w:val="003831EE"/>
    <w:rsid w:val="003837B5"/>
    <w:rsid w:val="00384649"/>
    <w:rsid w:val="00385BF0"/>
    <w:rsid w:val="00387C2E"/>
    <w:rsid w:val="0039059C"/>
    <w:rsid w:val="00390BEF"/>
    <w:rsid w:val="00390E82"/>
    <w:rsid w:val="00390EE4"/>
    <w:rsid w:val="00391C92"/>
    <w:rsid w:val="003939FF"/>
    <w:rsid w:val="00393AC8"/>
    <w:rsid w:val="00396517"/>
    <w:rsid w:val="003968FA"/>
    <w:rsid w:val="0039749D"/>
    <w:rsid w:val="00397EE2"/>
    <w:rsid w:val="003A2223"/>
    <w:rsid w:val="003A2271"/>
    <w:rsid w:val="003A2A0F"/>
    <w:rsid w:val="003A302A"/>
    <w:rsid w:val="003A392A"/>
    <w:rsid w:val="003A45A1"/>
    <w:rsid w:val="003A473D"/>
    <w:rsid w:val="003A4B7B"/>
    <w:rsid w:val="003A5B02"/>
    <w:rsid w:val="003A5B0A"/>
    <w:rsid w:val="003A5BE0"/>
    <w:rsid w:val="003A64DB"/>
    <w:rsid w:val="003A6BAC"/>
    <w:rsid w:val="003A70A4"/>
    <w:rsid w:val="003A7EF3"/>
    <w:rsid w:val="003B159C"/>
    <w:rsid w:val="003B1855"/>
    <w:rsid w:val="003B23EC"/>
    <w:rsid w:val="003B2490"/>
    <w:rsid w:val="003B26A2"/>
    <w:rsid w:val="003B2737"/>
    <w:rsid w:val="003B3216"/>
    <w:rsid w:val="003B3327"/>
    <w:rsid w:val="003B35FC"/>
    <w:rsid w:val="003B369F"/>
    <w:rsid w:val="003B36A3"/>
    <w:rsid w:val="003B471E"/>
    <w:rsid w:val="003B5340"/>
    <w:rsid w:val="003B5625"/>
    <w:rsid w:val="003B56DF"/>
    <w:rsid w:val="003B64BB"/>
    <w:rsid w:val="003B679C"/>
    <w:rsid w:val="003B68EA"/>
    <w:rsid w:val="003B7FE5"/>
    <w:rsid w:val="003C11C8"/>
    <w:rsid w:val="003C1C89"/>
    <w:rsid w:val="003C2702"/>
    <w:rsid w:val="003C30CA"/>
    <w:rsid w:val="003C3D57"/>
    <w:rsid w:val="003C43D4"/>
    <w:rsid w:val="003C4D94"/>
    <w:rsid w:val="003C5AD5"/>
    <w:rsid w:val="003C74CA"/>
    <w:rsid w:val="003C7806"/>
    <w:rsid w:val="003D109F"/>
    <w:rsid w:val="003D117D"/>
    <w:rsid w:val="003D1DD2"/>
    <w:rsid w:val="003D2478"/>
    <w:rsid w:val="003D260A"/>
    <w:rsid w:val="003D2EE8"/>
    <w:rsid w:val="003D3C45"/>
    <w:rsid w:val="003D4BE6"/>
    <w:rsid w:val="003D5B1F"/>
    <w:rsid w:val="003D60FA"/>
    <w:rsid w:val="003D63CD"/>
    <w:rsid w:val="003D6D9B"/>
    <w:rsid w:val="003D76BD"/>
    <w:rsid w:val="003D7DF1"/>
    <w:rsid w:val="003E15FA"/>
    <w:rsid w:val="003E2DAC"/>
    <w:rsid w:val="003E35C1"/>
    <w:rsid w:val="003E55E4"/>
    <w:rsid w:val="003E74E3"/>
    <w:rsid w:val="003F0191"/>
    <w:rsid w:val="003F05C7"/>
    <w:rsid w:val="003F08EE"/>
    <w:rsid w:val="003F17F8"/>
    <w:rsid w:val="003F1F39"/>
    <w:rsid w:val="003F2CD4"/>
    <w:rsid w:val="003F54EE"/>
    <w:rsid w:val="003F56F8"/>
    <w:rsid w:val="003F5735"/>
    <w:rsid w:val="003F59EC"/>
    <w:rsid w:val="003F6140"/>
    <w:rsid w:val="003F6BBE"/>
    <w:rsid w:val="003F7E57"/>
    <w:rsid w:val="004000E8"/>
    <w:rsid w:val="0040135A"/>
    <w:rsid w:val="00401792"/>
    <w:rsid w:val="00401896"/>
    <w:rsid w:val="0040254E"/>
    <w:rsid w:val="00402B8E"/>
    <w:rsid w:val="00402E2B"/>
    <w:rsid w:val="00404EFF"/>
    <w:rsid w:val="00404FDF"/>
    <w:rsid w:val="0040512B"/>
    <w:rsid w:val="00405CA5"/>
    <w:rsid w:val="00407451"/>
    <w:rsid w:val="00407CD3"/>
    <w:rsid w:val="00410134"/>
    <w:rsid w:val="00410B72"/>
    <w:rsid w:val="00410F18"/>
    <w:rsid w:val="0041189E"/>
    <w:rsid w:val="00411A12"/>
    <w:rsid w:val="00411B8A"/>
    <w:rsid w:val="00411E6A"/>
    <w:rsid w:val="0041263E"/>
    <w:rsid w:val="00413AAC"/>
    <w:rsid w:val="00413E92"/>
    <w:rsid w:val="00414007"/>
    <w:rsid w:val="00414490"/>
    <w:rsid w:val="0041582E"/>
    <w:rsid w:val="00415DBF"/>
    <w:rsid w:val="00416E3C"/>
    <w:rsid w:val="0042078A"/>
    <w:rsid w:val="00421105"/>
    <w:rsid w:val="00421B23"/>
    <w:rsid w:val="004227B2"/>
    <w:rsid w:val="00422AA4"/>
    <w:rsid w:val="004235AE"/>
    <w:rsid w:val="00423722"/>
    <w:rsid w:val="00423A14"/>
    <w:rsid w:val="004242F4"/>
    <w:rsid w:val="00424BD2"/>
    <w:rsid w:val="00426361"/>
    <w:rsid w:val="00426C6E"/>
    <w:rsid w:val="004270B7"/>
    <w:rsid w:val="00427248"/>
    <w:rsid w:val="00427B9C"/>
    <w:rsid w:val="00427CA8"/>
    <w:rsid w:val="00427D87"/>
    <w:rsid w:val="00430025"/>
    <w:rsid w:val="00431ADB"/>
    <w:rsid w:val="00431B9A"/>
    <w:rsid w:val="00432A08"/>
    <w:rsid w:val="00435CFD"/>
    <w:rsid w:val="00437447"/>
    <w:rsid w:val="0044052C"/>
    <w:rsid w:val="00440887"/>
    <w:rsid w:val="00441A92"/>
    <w:rsid w:val="004431DC"/>
    <w:rsid w:val="004432F5"/>
    <w:rsid w:val="00443C9D"/>
    <w:rsid w:val="00444511"/>
    <w:rsid w:val="00444F56"/>
    <w:rsid w:val="00444FE7"/>
    <w:rsid w:val="00446488"/>
    <w:rsid w:val="00446627"/>
    <w:rsid w:val="00446A59"/>
    <w:rsid w:val="00446AF9"/>
    <w:rsid w:val="00447A0E"/>
    <w:rsid w:val="0045101B"/>
    <w:rsid w:val="00451755"/>
    <w:rsid w:val="004517AA"/>
    <w:rsid w:val="004525AE"/>
    <w:rsid w:val="004525D3"/>
    <w:rsid w:val="00452788"/>
    <w:rsid w:val="00452B1C"/>
    <w:rsid w:val="00452CAC"/>
    <w:rsid w:val="00453318"/>
    <w:rsid w:val="0045542D"/>
    <w:rsid w:val="00455725"/>
    <w:rsid w:val="00455CAC"/>
    <w:rsid w:val="004572EA"/>
    <w:rsid w:val="00457565"/>
    <w:rsid w:val="004575C5"/>
    <w:rsid w:val="00457B71"/>
    <w:rsid w:val="00461015"/>
    <w:rsid w:val="004618FE"/>
    <w:rsid w:val="0046217C"/>
    <w:rsid w:val="00462650"/>
    <w:rsid w:val="004631BC"/>
    <w:rsid w:val="00463320"/>
    <w:rsid w:val="004640C0"/>
    <w:rsid w:val="0046428E"/>
    <w:rsid w:val="00464476"/>
    <w:rsid w:val="00464E6E"/>
    <w:rsid w:val="00465026"/>
    <w:rsid w:val="004659D3"/>
    <w:rsid w:val="004666BB"/>
    <w:rsid w:val="004669E2"/>
    <w:rsid w:val="00467DEF"/>
    <w:rsid w:val="00470C31"/>
    <w:rsid w:val="00471DE0"/>
    <w:rsid w:val="004730FB"/>
    <w:rsid w:val="004734D0"/>
    <w:rsid w:val="00473760"/>
    <w:rsid w:val="00473836"/>
    <w:rsid w:val="00473FAF"/>
    <w:rsid w:val="00474103"/>
    <w:rsid w:val="0047521E"/>
    <w:rsid w:val="0047556B"/>
    <w:rsid w:val="00477344"/>
    <w:rsid w:val="00477768"/>
    <w:rsid w:val="00477B1D"/>
    <w:rsid w:val="00480AD8"/>
    <w:rsid w:val="00480AFD"/>
    <w:rsid w:val="0048146E"/>
    <w:rsid w:val="00482F58"/>
    <w:rsid w:val="00484F47"/>
    <w:rsid w:val="0049022F"/>
    <w:rsid w:val="00490D0D"/>
    <w:rsid w:val="00491422"/>
    <w:rsid w:val="004922B0"/>
    <w:rsid w:val="00492BC5"/>
    <w:rsid w:val="00494F1B"/>
    <w:rsid w:val="00495FE6"/>
    <w:rsid w:val="004964F1"/>
    <w:rsid w:val="00496AB0"/>
    <w:rsid w:val="00497182"/>
    <w:rsid w:val="00497915"/>
    <w:rsid w:val="004A0146"/>
    <w:rsid w:val="004A01D8"/>
    <w:rsid w:val="004A0542"/>
    <w:rsid w:val="004A075F"/>
    <w:rsid w:val="004A0CCB"/>
    <w:rsid w:val="004A16BC"/>
    <w:rsid w:val="004A1CBE"/>
    <w:rsid w:val="004A1D9F"/>
    <w:rsid w:val="004A2731"/>
    <w:rsid w:val="004A28CE"/>
    <w:rsid w:val="004A29A4"/>
    <w:rsid w:val="004A29BB"/>
    <w:rsid w:val="004A2B94"/>
    <w:rsid w:val="004A4717"/>
    <w:rsid w:val="004A5AE9"/>
    <w:rsid w:val="004A730E"/>
    <w:rsid w:val="004A77CE"/>
    <w:rsid w:val="004B05B4"/>
    <w:rsid w:val="004B0CA8"/>
    <w:rsid w:val="004B1EC0"/>
    <w:rsid w:val="004B2255"/>
    <w:rsid w:val="004B23C9"/>
    <w:rsid w:val="004B2525"/>
    <w:rsid w:val="004B27DB"/>
    <w:rsid w:val="004B3763"/>
    <w:rsid w:val="004B43C5"/>
    <w:rsid w:val="004B4E73"/>
    <w:rsid w:val="004B69C7"/>
    <w:rsid w:val="004B6F6A"/>
    <w:rsid w:val="004B71E7"/>
    <w:rsid w:val="004B7C0C"/>
    <w:rsid w:val="004B7C13"/>
    <w:rsid w:val="004C0687"/>
    <w:rsid w:val="004C0F18"/>
    <w:rsid w:val="004C1A3C"/>
    <w:rsid w:val="004C1F33"/>
    <w:rsid w:val="004C23E6"/>
    <w:rsid w:val="004C3754"/>
    <w:rsid w:val="004C3898"/>
    <w:rsid w:val="004C3ADF"/>
    <w:rsid w:val="004C3F43"/>
    <w:rsid w:val="004C422C"/>
    <w:rsid w:val="004C4CC6"/>
    <w:rsid w:val="004C4FF1"/>
    <w:rsid w:val="004C5F61"/>
    <w:rsid w:val="004C60C5"/>
    <w:rsid w:val="004C6714"/>
    <w:rsid w:val="004C678C"/>
    <w:rsid w:val="004C6D23"/>
    <w:rsid w:val="004C72D8"/>
    <w:rsid w:val="004C7A9A"/>
    <w:rsid w:val="004C7D1B"/>
    <w:rsid w:val="004D064F"/>
    <w:rsid w:val="004D104C"/>
    <w:rsid w:val="004D1B78"/>
    <w:rsid w:val="004D36B1"/>
    <w:rsid w:val="004D454C"/>
    <w:rsid w:val="004D4DB2"/>
    <w:rsid w:val="004D4F8A"/>
    <w:rsid w:val="004D5684"/>
    <w:rsid w:val="004D6675"/>
    <w:rsid w:val="004D7EBD"/>
    <w:rsid w:val="004E1760"/>
    <w:rsid w:val="004E1B6F"/>
    <w:rsid w:val="004E2680"/>
    <w:rsid w:val="004E28F9"/>
    <w:rsid w:val="004E309A"/>
    <w:rsid w:val="004E3577"/>
    <w:rsid w:val="004E3E47"/>
    <w:rsid w:val="004E44AB"/>
    <w:rsid w:val="004E462E"/>
    <w:rsid w:val="004E56DC"/>
    <w:rsid w:val="004E61B4"/>
    <w:rsid w:val="004E6ED9"/>
    <w:rsid w:val="004E740B"/>
    <w:rsid w:val="004E74B1"/>
    <w:rsid w:val="004E76F4"/>
    <w:rsid w:val="004E7800"/>
    <w:rsid w:val="004E786F"/>
    <w:rsid w:val="004F0B4E"/>
    <w:rsid w:val="004F0B6C"/>
    <w:rsid w:val="004F1350"/>
    <w:rsid w:val="004F2078"/>
    <w:rsid w:val="004F2A58"/>
    <w:rsid w:val="004F2CD3"/>
    <w:rsid w:val="004F30E5"/>
    <w:rsid w:val="004F354B"/>
    <w:rsid w:val="004F4DA3"/>
    <w:rsid w:val="004F522A"/>
    <w:rsid w:val="004F575F"/>
    <w:rsid w:val="004F6181"/>
    <w:rsid w:val="004F64AC"/>
    <w:rsid w:val="00502ED7"/>
    <w:rsid w:val="00503607"/>
    <w:rsid w:val="0050409E"/>
    <w:rsid w:val="005045A9"/>
    <w:rsid w:val="00505011"/>
    <w:rsid w:val="0050629E"/>
    <w:rsid w:val="00506557"/>
    <w:rsid w:val="0050677A"/>
    <w:rsid w:val="0051016A"/>
    <w:rsid w:val="005108D8"/>
    <w:rsid w:val="005116F9"/>
    <w:rsid w:val="005132A2"/>
    <w:rsid w:val="00513A36"/>
    <w:rsid w:val="00515254"/>
    <w:rsid w:val="005153A7"/>
    <w:rsid w:val="00515C17"/>
    <w:rsid w:val="0051769E"/>
    <w:rsid w:val="005178AA"/>
    <w:rsid w:val="00517D4E"/>
    <w:rsid w:val="0052049B"/>
    <w:rsid w:val="005219CF"/>
    <w:rsid w:val="00522272"/>
    <w:rsid w:val="005223E5"/>
    <w:rsid w:val="00522649"/>
    <w:rsid w:val="00523A26"/>
    <w:rsid w:val="00525FE1"/>
    <w:rsid w:val="005264F0"/>
    <w:rsid w:val="005265AD"/>
    <w:rsid w:val="0053084D"/>
    <w:rsid w:val="00530863"/>
    <w:rsid w:val="005316AF"/>
    <w:rsid w:val="005317A7"/>
    <w:rsid w:val="00531E9F"/>
    <w:rsid w:val="00531FB4"/>
    <w:rsid w:val="0053333F"/>
    <w:rsid w:val="00533661"/>
    <w:rsid w:val="00533969"/>
    <w:rsid w:val="00533CA8"/>
    <w:rsid w:val="00533FEB"/>
    <w:rsid w:val="00534B59"/>
    <w:rsid w:val="00534C6A"/>
    <w:rsid w:val="00536759"/>
    <w:rsid w:val="00537516"/>
    <w:rsid w:val="00537C62"/>
    <w:rsid w:val="00537D55"/>
    <w:rsid w:val="00537E7D"/>
    <w:rsid w:val="00540876"/>
    <w:rsid w:val="00540CC0"/>
    <w:rsid w:val="005419C7"/>
    <w:rsid w:val="005435A2"/>
    <w:rsid w:val="00543FDF"/>
    <w:rsid w:val="005442C6"/>
    <w:rsid w:val="00544821"/>
    <w:rsid w:val="00544A72"/>
    <w:rsid w:val="00545515"/>
    <w:rsid w:val="00545E44"/>
    <w:rsid w:val="005464D1"/>
    <w:rsid w:val="00546970"/>
    <w:rsid w:val="00547376"/>
    <w:rsid w:val="00551511"/>
    <w:rsid w:val="00551B56"/>
    <w:rsid w:val="00551D8E"/>
    <w:rsid w:val="005532A3"/>
    <w:rsid w:val="00554836"/>
    <w:rsid w:val="00554E19"/>
    <w:rsid w:val="005564E9"/>
    <w:rsid w:val="00557AD0"/>
    <w:rsid w:val="00557DD0"/>
    <w:rsid w:val="0056016A"/>
    <w:rsid w:val="00560486"/>
    <w:rsid w:val="0056121F"/>
    <w:rsid w:val="005615A5"/>
    <w:rsid w:val="00562C4F"/>
    <w:rsid w:val="00562F74"/>
    <w:rsid w:val="00564BE5"/>
    <w:rsid w:val="00564F7A"/>
    <w:rsid w:val="00565A1F"/>
    <w:rsid w:val="00565E04"/>
    <w:rsid w:val="00566389"/>
    <w:rsid w:val="00567A4F"/>
    <w:rsid w:val="00567CEB"/>
    <w:rsid w:val="005712A1"/>
    <w:rsid w:val="0057224A"/>
    <w:rsid w:val="00572505"/>
    <w:rsid w:val="00573C5F"/>
    <w:rsid w:val="005748A9"/>
    <w:rsid w:val="00574CB2"/>
    <w:rsid w:val="005803F5"/>
    <w:rsid w:val="00580556"/>
    <w:rsid w:val="00580BBC"/>
    <w:rsid w:val="0058141B"/>
    <w:rsid w:val="00581CF2"/>
    <w:rsid w:val="00581DB2"/>
    <w:rsid w:val="0058213A"/>
    <w:rsid w:val="005827AD"/>
    <w:rsid w:val="00582809"/>
    <w:rsid w:val="0058304C"/>
    <w:rsid w:val="005845FD"/>
    <w:rsid w:val="00584807"/>
    <w:rsid w:val="005857EC"/>
    <w:rsid w:val="00585D17"/>
    <w:rsid w:val="00586DBF"/>
    <w:rsid w:val="0058798C"/>
    <w:rsid w:val="005900FA"/>
    <w:rsid w:val="00590CCF"/>
    <w:rsid w:val="00590FA5"/>
    <w:rsid w:val="005919AC"/>
    <w:rsid w:val="00592BF3"/>
    <w:rsid w:val="00592D2C"/>
    <w:rsid w:val="0059321F"/>
    <w:rsid w:val="005935A4"/>
    <w:rsid w:val="00593C46"/>
    <w:rsid w:val="005948C2"/>
    <w:rsid w:val="00594C08"/>
    <w:rsid w:val="00594F1B"/>
    <w:rsid w:val="00595DCA"/>
    <w:rsid w:val="00596267"/>
    <w:rsid w:val="00596AF3"/>
    <w:rsid w:val="0059779B"/>
    <w:rsid w:val="00597DFE"/>
    <w:rsid w:val="005A132D"/>
    <w:rsid w:val="005A209A"/>
    <w:rsid w:val="005A644B"/>
    <w:rsid w:val="005A662D"/>
    <w:rsid w:val="005A68D8"/>
    <w:rsid w:val="005A767A"/>
    <w:rsid w:val="005B009C"/>
    <w:rsid w:val="005B02F2"/>
    <w:rsid w:val="005B0711"/>
    <w:rsid w:val="005B123E"/>
    <w:rsid w:val="005B1409"/>
    <w:rsid w:val="005B2772"/>
    <w:rsid w:val="005B2D36"/>
    <w:rsid w:val="005B31C7"/>
    <w:rsid w:val="005B35D7"/>
    <w:rsid w:val="005B392A"/>
    <w:rsid w:val="005B3AA3"/>
    <w:rsid w:val="005B4DA7"/>
    <w:rsid w:val="005B4EC5"/>
    <w:rsid w:val="005B54EC"/>
    <w:rsid w:val="005B5AFC"/>
    <w:rsid w:val="005B5E25"/>
    <w:rsid w:val="005B6C8C"/>
    <w:rsid w:val="005B6F83"/>
    <w:rsid w:val="005B7525"/>
    <w:rsid w:val="005B7890"/>
    <w:rsid w:val="005B7B56"/>
    <w:rsid w:val="005C03FC"/>
    <w:rsid w:val="005C1BDA"/>
    <w:rsid w:val="005C1CD9"/>
    <w:rsid w:val="005C1D47"/>
    <w:rsid w:val="005C232B"/>
    <w:rsid w:val="005C29EB"/>
    <w:rsid w:val="005C410A"/>
    <w:rsid w:val="005C4B07"/>
    <w:rsid w:val="005C5DD7"/>
    <w:rsid w:val="005C6362"/>
    <w:rsid w:val="005C63D6"/>
    <w:rsid w:val="005C6543"/>
    <w:rsid w:val="005C667E"/>
    <w:rsid w:val="005C6C48"/>
    <w:rsid w:val="005C7182"/>
    <w:rsid w:val="005C742A"/>
    <w:rsid w:val="005C74FB"/>
    <w:rsid w:val="005C7971"/>
    <w:rsid w:val="005C7F13"/>
    <w:rsid w:val="005D1602"/>
    <w:rsid w:val="005D22A8"/>
    <w:rsid w:val="005D2D70"/>
    <w:rsid w:val="005D3D11"/>
    <w:rsid w:val="005D4D46"/>
    <w:rsid w:val="005D4DBE"/>
    <w:rsid w:val="005D67DE"/>
    <w:rsid w:val="005D7F44"/>
    <w:rsid w:val="005D7F4C"/>
    <w:rsid w:val="005E016B"/>
    <w:rsid w:val="005E0DCB"/>
    <w:rsid w:val="005E1C6C"/>
    <w:rsid w:val="005E254B"/>
    <w:rsid w:val="005E37E3"/>
    <w:rsid w:val="005E385F"/>
    <w:rsid w:val="005E40D3"/>
    <w:rsid w:val="005E5B81"/>
    <w:rsid w:val="005E5EC6"/>
    <w:rsid w:val="005E6713"/>
    <w:rsid w:val="005E69F7"/>
    <w:rsid w:val="005E722E"/>
    <w:rsid w:val="005F1A65"/>
    <w:rsid w:val="005F2AEC"/>
    <w:rsid w:val="005F2CB1"/>
    <w:rsid w:val="005F3025"/>
    <w:rsid w:val="005F5005"/>
    <w:rsid w:val="005F5121"/>
    <w:rsid w:val="005F618C"/>
    <w:rsid w:val="005F6C1E"/>
    <w:rsid w:val="005F6C65"/>
    <w:rsid w:val="005F6E44"/>
    <w:rsid w:val="005F70BD"/>
    <w:rsid w:val="005F752E"/>
    <w:rsid w:val="006011F4"/>
    <w:rsid w:val="00601895"/>
    <w:rsid w:val="00601CCE"/>
    <w:rsid w:val="0060283C"/>
    <w:rsid w:val="00604F14"/>
    <w:rsid w:val="00604F15"/>
    <w:rsid w:val="00605D47"/>
    <w:rsid w:val="00605ED0"/>
    <w:rsid w:val="00607A86"/>
    <w:rsid w:val="00610942"/>
    <w:rsid w:val="00610C74"/>
    <w:rsid w:val="00611B83"/>
    <w:rsid w:val="00611CFB"/>
    <w:rsid w:val="0061303D"/>
    <w:rsid w:val="00613257"/>
    <w:rsid w:val="00613534"/>
    <w:rsid w:val="00613557"/>
    <w:rsid w:val="00613697"/>
    <w:rsid w:val="00615954"/>
    <w:rsid w:val="006165FC"/>
    <w:rsid w:val="00617149"/>
    <w:rsid w:val="00617E41"/>
    <w:rsid w:val="00620173"/>
    <w:rsid w:val="00620A71"/>
    <w:rsid w:val="00620D80"/>
    <w:rsid w:val="0062144D"/>
    <w:rsid w:val="006217C8"/>
    <w:rsid w:val="00621B46"/>
    <w:rsid w:val="00622410"/>
    <w:rsid w:val="00622B79"/>
    <w:rsid w:val="00622CFE"/>
    <w:rsid w:val="006234A6"/>
    <w:rsid w:val="006257D4"/>
    <w:rsid w:val="0062727D"/>
    <w:rsid w:val="00630001"/>
    <w:rsid w:val="006311B3"/>
    <w:rsid w:val="0063144E"/>
    <w:rsid w:val="00632544"/>
    <w:rsid w:val="00632578"/>
    <w:rsid w:val="0063284C"/>
    <w:rsid w:val="00633B8D"/>
    <w:rsid w:val="00633FD7"/>
    <w:rsid w:val="00634C42"/>
    <w:rsid w:val="00634ED4"/>
    <w:rsid w:val="00635A5D"/>
    <w:rsid w:val="00636398"/>
    <w:rsid w:val="0063650D"/>
    <w:rsid w:val="006368D3"/>
    <w:rsid w:val="00636B52"/>
    <w:rsid w:val="006377EC"/>
    <w:rsid w:val="0064020D"/>
    <w:rsid w:val="006403B0"/>
    <w:rsid w:val="006407B9"/>
    <w:rsid w:val="0064151F"/>
    <w:rsid w:val="00641533"/>
    <w:rsid w:val="00641A5F"/>
    <w:rsid w:val="00641E64"/>
    <w:rsid w:val="0064208D"/>
    <w:rsid w:val="00643475"/>
    <w:rsid w:val="0064396A"/>
    <w:rsid w:val="00643F05"/>
    <w:rsid w:val="00643F35"/>
    <w:rsid w:val="00644BAE"/>
    <w:rsid w:val="00645B28"/>
    <w:rsid w:val="0064624E"/>
    <w:rsid w:val="00646414"/>
    <w:rsid w:val="00646609"/>
    <w:rsid w:val="00646A5D"/>
    <w:rsid w:val="00650422"/>
    <w:rsid w:val="00650AB9"/>
    <w:rsid w:val="00650B70"/>
    <w:rsid w:val="006516D5"/>
    <w:rsid w:val="00652FA7"/>
    <w:rsid w:val="0065341B"/>
    <w:rsid w:val="00654320"/>
    <w:rsid w:val="006555D5"/>
    <w:rsid w:val="00655733"/>
    <w:rsid w:val="00655ACD"/>
    <w:rsid w:val="00655B81"/>
    <w:rsid w:val="00655E84"/>
    <w:rsid w:val="0065636F"/>
    <w:rsid w:val="00656A92"/>
    <w:rsid w:val="00656CE6"/>
    <w:rsid w:val="00656DDE"/>
    <w:rsid w:val="0065757C"/>
    <w:rsid w:val="0065798D"/>
    <w:rsid w:val="00657E0C"/>
    <w:rsid w:val="0066011D"/>
    <w:rsid w:val="006605AE"/>
    <w:rsid w:val="00660743"/>
    <w:rsid w:val="006607C0"/>
    <w:rsid w:val="00660A4B"/>
    <w:rsid w:val="00660A5A"/>
    <w:rsid w:val="006611EF"/>
    <w:rsid w:val="006613A6"/>
    <w:rsid w:val="0066190D"/>
    <w:rsid w:val="00661CD2"/>
    <w:rsid w:val="006627A2"/>
    <w:rsid w:val="00662FB6"/>
    <w:rsid w:val="006634E6"/>
    <w:rsid w:val="00664A4A"/>
    <w:rsid w:val="006655EE"/>
    <w:rsid w:val="00665CB0"/>
    <w:rsid w:val="006667D5"/>
    <w:rsid w:val="00666E86"/>
    <w:rsid w:val="00667325"/>
    <w:rsid w:val="00667EE7"/>
    <w:rsid w:val="00670922"/>
    <w:rsid w:val="00670BE1"/>
    <w:rsid w:val="0067218F"/>
    <w:rsid w:val="006727EC"/>
    <w:rsid w:val="00673D3D"/>
    <w:rsid w:val="00674177"/>
    <w:rsid w:val="006741A1"/>
    <w:rsid w:val="006741F2"/>
    <w:rsid w:val="0067420E"/>
    <w:rsid w:val="00674CC3"/>
    <w:rsid w:val="0067544C"/>
    <w:rsid w:val="00675450"/>
    <w:rsid w:val="006757F2"/>
    <w:rsid w:val="00675C72"/>
    <w:rsid w:val="006771F9"/>
    <w:rsid w:val="006776D7"/>
    <w:rsid w:val="00677B94"/>
    <w:rsid w:val="00680931"/>
    <w:rsid w:val="00681003"/>
    <w:rsid w:val="006817C9"/>
    <w:rsid w:val="00682257"/>
    <w:rsid w:val="0068259E"/>
    <w:rsid w:val="00683ECE"/>
    <w:rsid w:val="00685C72"/>
    <w:rsid w:val="00686699"/>
    <w:rsid w:val="00686E17"/>
    <w:rsid w:val="00691559"/>
    <w:rsid w:val="00692460"/>
    <w:rsid w:val="00694333"/>
    <w:rsid w:val="00695527"/>
    <w:rsid w:val="0069573E"/>
    <w:rsid w:val="00695FC2"/>
    <w:rsid w:val="0069663A"/>
    <w:rsid w:val="00696949"/>
    <w:rsid w:val="00696AB1"/>
    <w:rsid w:val="00697052"/>
    <w:rsid w:val="00697116"/>
    <w:rsid w:val="00697E39"/>
    <w:rsid w:val="006A038A"/>
    <w:rsid w:val="006A0BAE"/>
    <w:rsid w:val="006A16A4"/>
    <w:rsid w:val="006A16CE"/>
    <w:rsid w:val="006A1AB0"/>
    <w:rsid w:val="006A2170"/>
    <w:rsid w:val="006A3B99"/>
    <w:rsid w:val="006A3DB5"/>
    <w:rsid w:val="006A446E"/>
    <w:rsid w:val="006A46FB"/>
    <w:rsid w:val="006A4E1F"/>
    <w:rsid w:val="006A5581"/>
    <w:rsid w:val="006A5E28"/>
    <w:rsid w:val="006A697B"/>
    <w:rsid w:val="006A6AAF"/>
    <w:rsid w:val="006A6EFA"/>
    <w:rsid w:val="006A7AFF"/>
    <w:rsid w:val="006B028C"/>
    <w:rsid w:val="006B0E1A"/>
    <w:rsid w:val="006B12ED"/>
    <w:rsid w:val="006B1816"/>
    <w:rsid w:val="006B2099"/>
    <w:rsid w:val="006B4847"/>
    <w:rsid w:val="006B50CF"/>
    <w:rsid w:val="006B54E8"/>
    <w:rsid w:val="006B5903"/>
    <w:rsid w:val="006B5F66"/>
    <w:rsid w:val="006B663E"/>
    <w:rsid w:val="006B6A7D"/>
    <w:rsid w:val="006B78FE"/>
    <w:rsid w:val="006B7F8C"/>
    <w:rsid w:val="006C03B8"/>
    <w:rsid w:val="006C1468"/>
    <w:rsid w:val="006C2401"/>
    <w:rsid w:val="006C36C1"/>
    <w:rsid w:val="006C46EF"/>
    <w:rsid w:val="006C497A"/>
    <w:rsid w:val="006C4AB2"/>
    <w:rsid w:val="006C54F9"/>
    <w:rsid w:val="006C5EC9"/>
    <w:rsid w:val="006C6059"/>
    <w:rsid w:val="006C656A"/>
    <w:rsid w:val="006C67BD"/>
    <w:rsid w:val="006C6EED"/>
    <w:rsid w:val="006C7083"/>
    <w:rsid w:val="006C7522"/>
    <w:rsid w:val="006D077C"/>
    <w:rsid w:val="006D0912"/>
    <w:rsid w:val="006D1138"/>
    <w:rsid w:val="006D3691"/>
    <w:rsid w:val="006D3DAE"/>
    <w:rsid w:val="006D4061"/>
    <w:rsid w:val="006D5610"/>
    <w:rsid w:val="006D5829"/>
    <w:rsid w:val="006D5E16"/>
    <w:rsid w:val="006D6F08"/>
    <w:rsid w:val="006D7353"/>
    <w:rsid w:val="006D7E04"/>
    <w:rsid w:val="006E062C"/>
    <w:rsid w:val="006E1C82"/>
    <w:rsid w:val="006E28B7"/>
    <w:rsid w:val="006E29EF"/>
    <w:rsid w:val="006E2A9B"/>
    <w:rsid w:val="006E32E7"/>
    <w:rsid w:val="006E3310"/>
    <w:rsid w:val="006E4E39"/>
    <w:rsid w:val="006E565E"/>
    <w:rsid w:val="006E6538"/>
    <w:rsid w:val="006E66F0"/>
    <w:rsid w:val="006E673D"/>
    <w:rsid w:val="006E6A83"/>
    <w:rsid w:val="006E7198"/>
    <w:rsid w:val="006E77F3"/>
    <w:rsid w:val="006E7AF6"/>
    <w:rsid w:val="006E7D3B"/>
    <w:rsid w:val="006F0D97"/>
    <w:rsid w:val="006F0F1F"/>
    <w:rsid w:val="006F1B70"/>
    <w:rsid w:val="006F24BD"/>
    <w:rsid w:val="006F341D"/>
    <w:rsid w:val="006F3CDE"/>
    <w:rsid w:val="006F3DA7"/>
    <w:rsid w:val="006F4C2F"/>
    <w:rsid w:val="006F4E67"/>
    <w:rsid w:val="006F58D4"/>
    <w:rsid w:val="006F6582"/>
    <w:rsid w:val="006F6BD4"/>
    <w:rsid w:val="006F70BA"/>
    <w:rsid w:val="00700096"/>
    <w:rsid w:val="00701C3A"/>
    <w:rsid w:val="007030CB"/>
    <w:rsid w:val="0070346E"/>
    <w:rsid w:val="00703B4D"/>
    <w:rsid w:val="00704D7C"/>
    <w:rsid w:val="00704EDB"/>
    <w:rsid w:val="0070515D"/>
    <w:rsid w:val="00706101"/>
    <w:rsid w:val="007061F9"/>
    <w:rsid w:val="00707072"/>
    <w:rsid w:val="0070712D"/>
    <w:rsid w:val="00707D61"/>
    <w:rsid w:val="00711260"/>
    <w:rsid w:val="00711403"/>
    <w:rsid w:val="00711805"/>
    <w:rsid w:val="00711D30"/>
    <w:rsid w:val="00712287"/>
    <w:rsid w:val="00712574"/>
    <w:rsid w:val="00712672"/>
    <w:rsid w:val="00712772"/>
    <w:rsid w:val="007137FD"/>
    <w:rsid w:val="007148D3"/>
    <w:rsid w:val="00715A3E"/>
    <w:rsid w:val="00715B9A"/>
    <w:rsid w:val="00717548"/>
    <w:rsid w:val="00717D55"/>
    <w:rsid w:val="007208C7"/>
    <w:rsid w:val="0072127D"/>
    <w:rsid w:val="007223A0"/>
    <w:rsid w:val="00724583"/>
    <w:rsid w:val="00724D84"/>
    <w:rsid w:val="00725400"/>
    <w:rsid w:val="007257D0"/>
    <w:rsid w:val="00725E92"/>
    <w:rsid w:val="00725EE1"/>
    <w:rsid w:val="00726EA6"/>
    <w:rsid w:val="00726FE3"/>
    <w:rsid w:val="00727208"/>
    <w:rsid w:val="00727680"/>
    <w:rsid w:val="00731FCC"/>
    <w:rsid w:val="00732065"/>
    <w:rsid w:val="007325AD"/>
    <w:rsid w:val="007335C7"/>
    <w:rsid w:val="0073450F"/>
    <w:rsid w:val="007348B1"/>
    <w:rsid w:val="0073517B"/>
    <w:rsid w:val="007362A6"/>
    <w:rsid w:val="00736977"/>
    <w:rsid w:val="00736AB8"/>
    <w:rsid w:val="00736D7D"/>
    <w:rsid w:val="007370F1"/>
    <w:rsid w:val="0073773E"/>
    <w:rsid w:val="00737946"/>
    <w:rsid w:val="00740C38"/>
    <w:rsid w:val="00740C69"/>
    <w:rsid w:val="00740E58"/>
    <w:rsid w:val="007413CC"/>
    <w:rsid w:val="00741F8C"/>
    <w:rsid w:val="00742B73"/>
    <w:rsid w:val="007434D4"/>
    <w:rsid w:val="00743C27"/>
    <w:rsid w:val="00744350"/>
    <w:rsid w:val="007445A0"/>
    <w:rsid w:val="007447C3"/>
    <w:rsid w:val="0074524B"/>
    <w:rsid w:val="007461BB"/>
    <w:rsid w:val="007466A9"/>
    <w:rsid w:val="007467C4"/>
    <w:rsid w:val="00746939"/>
    <w:rsid w:val="00746F50"/>
    <w:rsid w:val="00747D8B"/>
    <w:rsid w:val="00751228"/>
    <w:rsid w:val="00754ED7"/>
    <w:rsid w:val="007559F8"/>
    <w:rsid w:val="00756276"/>
    <w:rsid w:val="00756C92"/>
    <w:rsid w:val="007571DD"/>
    <w:rsid w:val="007571E1"/>
    <w:rsid w:val="00757BB5"/>
    <w:rsid w:val="007604B2"/>
    <w:rsid w:val="00761152"/>
    <w:rsid w:val="00762C53"/>
    <w:rsid w:val="00764667"/>
    <w:rsid w:val="00765281"/>
    <w:rsid w:val="007667DC"/>
    <w:rsid w:val="00766839"/>
    <w:rsid w:val="00766BAD"/>
    <w:rsid w:val="00766E3A"/>
    <w:rsid w:val="00767B45"/>
    <w:rsid w:val="00770672"/>
    <w:rsid w:val="00771717"/>
    <w:rsid w:val="00772100"/>
    <w:rsid w:val="00772396"/>
    <w:rsid w:val="00772474"/>
    <w:rsid w:val="007729A2"/>
    <w:rsid w:val="00772B89"/>
    <w:rsid w:val="00773E1A"/>
    <w:rsid w:val="007749DE"/>
    <w:rsid w:val="00774F78"/>
    <w:rsid w:val="00775244"/>
    <w:rsid w:val="007755F2"/>
    <w:rsid w:val="00776971"/>
    <w:rsid w:val="00777539"/>
    <w:rsid w:val="00780A80"/>
    <w:rsid w:val="007810C7"/>
    <w:rsid w:val="0078122D"/>
    <w:rsid w:val="0078177E"/>
    <w:rsid w:val="00781D5E"/>
    <w:rsid w:val="00782178"/>
    <w:rsid w:val="00782737"/>
    <w:rsid w:val="007827CC"/>
    <w:rsid w:val="0078304C"/>
    <w:rsid w:val="00783249"/>
    <w:rsid w:val="00783673"/>
    <w:rsid w:val="00783AA5"/>
    <w:rsid w:val="00785490"/>
    <w:rsid w:val="00785574"/>
    <w:rsid w:val="007860A9"/>
    <w:rsid w:val="00790D8F"/>
    <w:rsid w:val="0079130D"/>
    <w:rsid w:val="00791C45"/>
    <w:rsid w:val="007925EA"/>
    <w:rsid w:val="007925FE"/>
    <w:rsid w:val="007933B3"/>
    <w:rsid w:val="0079385F"/>
    <w:rsid w:val="00793CD8"/>
    <w:rsid w:val="00794C20"/>
    <w:rsid w:val="00795412"/>
    <w:rsid w:val="00795C92"/>
    <w:rsid w:val="00796231"/>
    <w:rsid w:val="00796C03"/>
    <w:rsid w:val="00797507"/>
    <w:rsid w:val="00797E3C"/>
    <w:rsid w:val="007A07BB"/>
    <w:rsid w:val="007A1306"/>
    <w:rsid w:val="007A18B1"/>
    <w:rsid w:val="007A1CB3"/>
    <w:rsid w:val="007A2583"/>
    <w:rsid w:val="007A306F"/>
    <w:rsid w:val="007A43A6"/>
    <w:rsid w:val="007A43D8"/>
    <w:rsid w:val="007A5115"/>
    <w:rsid w:val="007A531C"/>
    <w:rsid w:val="007A557D"/>
    <w:rsid w:val="007A5582"/>
    <w:rsid w:val="007A58A6"/>
    <w:rsid w:val="007A70EA"/>
    <w:rsid w:val="007B01F2"/>
    <w:rsid w:val="007B0228"/>
    <w:rsid w:val="007B06F7"/>
    <w:rsid w:val="007B1406"/>
    <w:rsid w:val="007B21DC"/>
    <w:rsid w:val="007B2C33"/>
    <w:rsid w:val="007B3D2D"/>
    <w:rsid w:val="007B3E19"/>
    <w:rsid w:val="007B50AE"/>
    <w:rsid w:val="007B51DF"/>
    <w:rsid w:val="007B52BB"/>
    <w:rsid w:val="007B53F9"/>
    <w:rsid w:val="007B54B8"/>
    <w:rsid w:val="007B5D90"/>
    <w:rsid w:val="007B648F"/>
    <w:rsid w:val="007B6A95"/>
    <w:rsid w:val="007B6B10"/>
    <w:rsid w:val="007C04D2"/>
    <w:rsid w:val="007C05DD"/>
    <w:rsid w:val="007C0603"/>
    <w:rsid w:val="007C082D"/>
    <w:rsid w:val="007C0909"/>
    <w:rsid w:val="007C15F5"/>
    <w:rsid w:val="007C336E"/>
    <w:rsid w:val="007C3D18"/>
    <w:rsid w:val="007C52FD"/>
    <w:rsid w:val="007C60BF"/>
    <w:rsid w:val="007C6A07"/>
    <w:rsid w:val="007C6FE9"/>
    <w:rsid w:val="007C702B"/>
    <w:rsid w:val="007C75A1"/>
    <w:rsid w:val="007C77A5"/>
    <w:rsid w:val="007D04E5"/>
    <w:rsid w:val="007D21E5"/>
    <w:rsid w:val="007D3532"/>
    <w:rsid w:val="007D3835"/>
    <w:rsid w:val="007D4F71"/>
    <w:rsid w:val="007D56B8"/>
    <w:rsid w:val="007D5901"/>
    <w:rsid w:val="007D5A43"/>
    <w:rsid w:val="007D6318"/>
    <w:rsid w:val="007D7526"/>
    <w:rsid w:val="007D752C"/>
    <w:rsid w:val="007E01D5"/>
    <w:rsid w:val="007E0215"/>
    <w:rsid w:val="007E09EA"/>
    <w:rsid w:val="007E3C66"/>
    <w:rsid w:val="007E4610"/>
    <w:rsid w:val="007E4715"/>
    <w:rsid w:val="007E4D6A"/>
    <w:rsid w:val="007E505B"/>
    <w:rsid w:val="007E5BBC"/>
    <w:rsid w:val="007E68ED"/>
    <w:rsid w:val="007E7091"/>
    <w:rsid w:val="007E7D61"/>
    <w:rsid w:val="007F0D07"/>
    <w:rsid w:val="007F5424"/>
    <w:rsid w:val="007F572D"/>
    <w:rsid w:val="007F5FE4"/>
    <w:rsid w:val="007F6546"/>
    <w:rsid w:val="007F6CBD"/>
    <w:rsid w:val="0080050D"/>
    <w:rsid w:val="00800C75"/>
    <w:rsid w:val="008034B9"/>
    <w:rsid w:val="00803FAE"/>
    <w:rsid w:val="008047D5"/>
    <w:rsid w:val="00804E89"/>
    <w:rsid w:val="00805F5F"/>
    <w:rsid w:val="0080605F"/>
    <w:rsid w:val="0080769A"/>
    <w:rsid w:val="00807786"/>
    <w:rsid w:val="008113D6"/>
    <w:rsid w:val="008113DB"/>
    <w:rsid w:val="00811C2C"/>
    <w:rsid w:val="00811FCB"/>
    <w:rsid w:val="008122A5"/>
    <w:rsid w:val="0081281F"/>
    <w:rsid w:val="008158D6"/>
    <w:rsid w:val="00815EA9"/>
    <w:rsid w:val="00815F6F"/>
    <w:rsid w:val="00816B90"/>
    <w:rsid w:val="00817196"/>
    <w:rsid w:val="00822097"/>
    <w:rsid w:val="0082290B"/>
    <w:rsid w:val="00822EEB"/>
    <w:rsid w:val="008233FD"/>
    <w:rsid w:val="008235DB"/>
    <w:rsid w:val="00823854"/>
    <w:rsid w:val="00824AB4"/>
    <w:rsid w:val="00825782"/>
    <w:rsid w:val="00825BA8"/>
    <w:rsid w:val="00825C42"/>
    <w:rsid w:val="00825D25"/>
    <w:rsid w:val="00827D6F"/>
    <w:rsid w:val="0083041D"/>
    <w:rsid w:val="00830C95"/>
    <w:rsid w:val="00831036"/>
    <w:rsid w:val="008314DB"/>
    <w:rsid w:val="00831721"/>
    <w:rsid w:val="00831E21"/>
    <w:rsid w:val="008337F3"/>
    <w:rsid w:val="0083383D"/>
    <w:rsid w:val="00834111"/>
    <w:rsid w:val="00834309"/>
    <w:rsid w:val="00835806"/>
    <w:rsid w:val="008376AC"/>
    <w:rsid w:val="00841DB4"/>
    <w:rsid w:val="00842150"/>
    <w:rsid w:val="00844299"/>
    <w:rsid w:val="008444E8"/>
    <w:rsid w:val="00844E80"/>
    <w:rsid w:val="0084592F"/>
    <w:rsid w:val="00846675"/>
    <w:rsid w:val="00846FE7"/>
    <w:rsid w:val="00847001"/>
    <w:rsid w:val="0084703F"/>
    <w:rsid w:val="00847D69"/>
    <w:rsid w:val="00847E7F"/>
    <w:rsid w:val="00850E0B"/>
    <w:rsid w:val="00852047"/>
    <w:rsid w:val="008545A2"/>
    <w:rsid w:val="008553CC"/>
    <w:rsid w:val="008557F5"/>
    <w:rsid w:val="00855BD8"/>
    <w:rsid w:val="00856911"/>
    <w:rsid w:val="00856C1F"/>
    <w:rsid w:val="008575B2"/>
    <w:rsid w:val="00857A27"/>
    <w:rsid w:val="00860340"/>
    <w:rsid w:val="008603FC"/>
    <w:rsid w:val="00860D34"/>
    <w:rsid w:val="00860FBC"/>
    <w:rsid w:val="00862D47"/>
    <w:rsid w:val="00862E51"/>
    <w:rsid w:val="008632F7"/>
    <w:rsid w:val="00863492"/>
    <w:rsid w:val="008644BB"/>
    <w:rsid w:val="008649CB"/>
    <w:rsid w:val="00864F3D"/>
    <w:rsid w:val="008650F7"/>
    <w:rsid w:val="00865DDC"/>
    <w:rsid w:val="00865E81"/>
    <w:rsid w:val="0086669A"/>
    <w:rsid w:val="00866C18"/>
    <w:rsid w:val="00866EB2"/>
    <w:rsid w:val="00866F5B"/>
    <w:rsid w:val="00867232"/>
    <w:rsid w:val="008677FD"/>
    <w:rsid w:val="0086798B"/>
    <w:rsid w:val="00867FA9"/>
    <w:rsid w:val="008706D4"/>
    <w:rsid w:val="00870827"/>
    <w:rsid w:val="00870A49"/>
    <w:rsid w:val="00870F8A"/>
    <w:rsid w:val="0087159D"/>
    <w:rsid w:val="008719A4"/>
    <w:rsid w:val="00871D23"/>
    <w:rsid w:val="008723B9"/>
    <w:rsid w:val="00873324"/>
    <w:rsid w:val="00873608"/>
    <w:rsid w:val="008737EE"/>
    <w:rsid w:val="00873B0A"/>
    <w:rsid w:val="00874312"/>
    <w:rsid w:val="0087437C"/>
    <w:rsid w:val="008743EC"/>
    <w:rsid w:val="00875CD7"/>
    <w:rsid w:val="00876B4D"/>
    <w:rsid w:val="0087726A"/>
    <w:rsid w:val="00877F18"/>
    <w:rsid w:val="0088061E"/>
    <w:rsid w:val="008812EB"/>
    <w:rsid w:val="00881BA6"/>
    <w:rsid w:val="00882115"/>
    <w:rsid w:val="00883579"/>
    <w:rsid w:val="00883E0B"/>
    <w:rsid w:val="00884A7F"/>
    <w:rsid w:val="008852C7"/>
    <w:rsid w:val="0089042B"/>
    <w:rsid w:val="00890D1E"/>
    <w:rsid w:val="008932EF"/>
    <w:rsid w:val="008941E3"/>
    <w:rsid w:val="00894A88"/>
    <w:rsid w:val="00894BCC"/>
    <w:rsid w:val="0089515B"/>
    <w:rsid w:val="00895386"/>
    <w:rsid w:val="00896579"/>
    <w:rsid w:val="0089677E"/>
    <w:rsid w:val="00896BE8"/>
    <w:rsid w:val="008A039E"/>
    <w:rsid w:val="008A0610"/>
    <w:rsid w:val="008A0EB7"/>
    <w:rsid w:val="008A1169"/>
    <w:rsid w:val="008A2140"/>
    <w:rsid w:val="008A21A0"/>
    <w:rsid w:val="008A21FF"/>
    <w:rsid w:val="008A2CE2"/>
    <w:rsid w:val="008A30AC"/>
    <w:rsid w:val="008A44B8"/>
    <w:rsid w:val="008A51A8"/>
    <w:rsid w:val="008A54C7"/>
    <w:rsid w:val="008A720A"/>
    <w:rsid w:val="008A77D8"/>
    <w:rsid w:val="008B0483"/>
    <w:rsid w:val="008B0526"/>
    <w:rsid w:val="008B0788"/>
    <w:rsid w:val="008B120C"/>
    <w:rsid w:val="008B13DF"/>
    <w:rsid w:val="008B1908"/>
    <w:rsid w:val="008B3233"/>
    <w:rsid w:val="008B50CD"/>
    <w:rsid w:val="008B51A0"/>
    <w:rsid w:val="008B592A"/>
    <w:rsid w:val="008B5D27"/>
    <w:rsid w:val="008B6A77"/>
    <w:rsid w:val="008B7ACD"/>
    <w:rsid w:val="008B7B5C"/>
    <w:rsid w:val="008B7F7F"/>
    <w:rsid w:val="008C07AE"/>
    <w:rsid w:val="008C0C99"/>
    <w:rsid w:val="008C150D"/>
    <w:rsid w:val="008C182C"/>
    <w:rsid w:val="008C2017"/>
    <w:rsid w:val="008C4958"/>
    <w:rsid w:val="008C4BAA"/>
    <w:rsid w:val="008C4E81"/>
    <w:rsid w:val="008C6AE8"/>
    <w:rsid w:val="008C7573"/>
    <w:rsid w:val="008D00A5"/>
    <w:rsid w:val="008D0766"/>
    <w:rsid w:val="008D1BD4"/>
    <w:rsid w:val="008D32EA"/>
    <w:rsid w:val="008D34F1"/>
    <w:rsid w:val="008D39D8"/>
    <w:rsid w:val="008D460D"/>
    <w:rsid w:val="008D48B8"/>
    <w:rsid w:val="008D6D1A"/>
    <w:rsid w:val="008D701C"/>
    <w:rsid w:val="008D7962"/>
    <w:rsid w:val="008E065E"/>
    <w:rsid w:val="008E0927"/>
    <w:rsid w:val="008E1909"/>
    <w:rsid w:val="008E5D71"/>
    <w:rsid w:val="008E7AA6"/>
    <w:rsid w:val="008E7BF7"/>
    <w:rsid w:val="008F12C0"/>
    <w:rsid w:val="008F16F8"/>
    <w:rsid w:val="008F1C4E"/>
    <w:rsid w:val="008F1EAB"/>
    <w:rsid w:val="008F1F78"/>
    <w:rsid w:val="008F27F8"/>
    <w:rsid w:val="008F29EA"/>
    <w:rsid w:val="008F2E68"/>
    <w:rsid w:val="008F33DC"/>
    <w:rsid w:val="008F34A3"/>
    <w:rsid w:val="008F3562"/>
    <w:rsid w:val="008F3D31"/>
    <w:rsid w:val="008F477F"/>
    <w:rsid w:val="008F5396"/>
    <w:rsid w:val="008F5687"/>
    <w:rsid w:val="008F6394"/>
    <w:rsid w:val="008F74FF"/>
    <w:rsid w:val="008F7CD7"/>
    <w:rsid w:val="008F7D7A"/>
    <w:rsid w:val="00902350"/>
    <w:rsid w:val="00902C8B"/>
    <w:rsid w:val="00903270"/>
    <w:rsid w:val="0090336B"/>
    <w:rsid w:val="00904EBC"/>
    <w:rsid w:val="009053AA"/>
    <w:rsid w:val="00905A56"/>
    <w:rsid w:val="00906939"/>
    <w:rsid w:val="00906FCC"/>
    <w:rsid w:val="00910141"/>
    <w:rsid w:val="00910187"/>
    <w:rsid w:val="00910A49"/>
    <w:rsid w:val="00910ADD"/>
    <w:rsid w:val="00910B7D"/>
    <w:rsid w:val="00911552"/>
    <w:rsid w:val="0091171C"/>
    <w:rsid w:val="00911DFB"/>
    <w:rsid w:val="009122D7"/>
    <w:rsid w:val="0091234C"/>
    <w:rsid w:val="009130FD"/>
    <w:rsid w:val="009131C5"/>
    <w:rsid w:val="00913953"/>
    <w:rsid w:val="009139D9"/>
    <w:rsid w:val="009143A1"/>
    <w:rsid w:val="00914AD8"/>
    <w:rsid w:val="00915890"/>
    <w:rsid w:val="00916079"/>
    <w:rsid w:val="009169E6"/>
    <w:rsid w:val="00917CE9"/>
    <w:rsid w:val="00917DF1"/>
    <w:rsid w:val="00917E21"/>
    <w:rsid w:val="00920BF2"/>
    <w:rsid w:val="009211D1"/>
    <w:rsid w:val="00922010"/>
    <w:rsid w:val="00922933"/>
    <w:rsid w:val="00922A10"/>
    <w:rsid w:val="009231E1"/>
    <w:rsid w:val="0092464B"/>
    <w:rsid w:val="00924852"/>
    <w:rsid w:val="009253D6"/>
    <w:rsid w:val="00925CB2"/>
    <w:rsid w:val="00926212"/>
    <w:rsid w:val="00926F1A"/>
    <w:rsid w:val="00931A1F"/>
    <w:rsid w:val="00931BD9"/>
    <w:rsid w:val="0093203D"/>
    <w:rsid w:val="0093584D"/>
    <w:rsid w:val="009368F3"/>
    <w:rsid w:val="00937F2F"/>
    <w:rsid w:val="00940436"/>
    <w:rsid w:val="00941636"/>
    <w:rsid w:val="00941FC4"/>
    <w:rsid w:val="00943742"/>
    <w:rsid w:val="0094415D"/>
    <w:rsid w:val="00945C05"/>
    <w:rsid w:val="00945C81"/>
    <w:rsid w:val="009466B4"/>
    <w:rsid w:val="00946945"/>
    <w:rsid w:val="00947329"/>
    <w:rsid w:val="00947713"/>
    <w:rsid w:val="00950DC5"/>
    <w:rsid w:val="00950DE7"/>
    <w:rsid w:val="00951048"/>
    <w:rsid w:val="00953920"/>
    <w:rsid w:val="00953D47"/>
    <w:rsid w:val="00953F5D"/>
    <w:rsid w:val="00954192"/>
    <w:rsid w:val="0095681E"/>
    <w:rsid w:val="00956E01"/>
    <w:rsid w:val="009572D4"/>
    <w:rsid w:val="00957923"/>
    <w:rsid w:val="00960109"/>
    <w:rsid w:val="0096062E"/>
    <w:rsid w:val="009609BF"/>
    <w:rsid w:val="00960F8B"/>
    <w:rsid w:val="00961921"/>
    <w:rsid w:val="0096401B"/>
    <w:rsid w:val="0096430A"/>
    <w:rsid w:val="009648C4"/>
    <w:rsid w:val="0096554B"/>
    <w:rsid w:val="0096584A"/>
    <w:rsid w:val="0096739F"/>
    <w:rsid w:val="0096785E"/>
    <w:rsid w:val="00967AA3"/>
    <w:rsid w:val="00970B2D"/>
    <w:rsid w:val="00971EF7"/>
    <w:rsid w:val="00971F08"/>
    <w:rsid w:val="009732CC"/>
    <w:rsid w:val="009732DD"/>
    <w:rsid w:val="00973C2C"/>
    <w:rsid w:val="0097472A"/>
    <w:rsid w:val="00974A62"/>
    <w:rsid w:val="00975EEF"/>
    <w:rsid w:val="0097603D"/>
    <w:rsid w:val="00976949"/>
    <w:rsid w:val="00977BC4"/>
    <w:rsid w:val="009800B7"/>
    <w:rsid w:val="00980477"/>
    <w:rsid w:val="0098105E"/>
    <w:rsid w:val="00981E66"/>
    <w:rsid w:val="009827B6"/>
    <w:rsid w:val="00983291"/>
    <w:rsid w:val="00983A8B"/>
    <w:rsid w:val="0098510E"/>
    <w:rsid w:val="00985253"/>
    <w:rsid w:val="009853B3"/>
    <w:rsid w:val="00986085"/>
    <w:rsid w:val="0098631D"/>
    <w:rsid w:val="00986C01"/>
    <w:rsid w:val="00987045"/>
    <w:rsid w:val="00990630"/>
    <w:rsid w:val="009909B5"/>
    <w:rsid w:val="009913EB"/>
    <w:rsid w:val="009914CB"/>
    <w:rsid w:val="00991761"/>
    <w:rsid w:val="00992828"/>
    <w:rsid w:val="00992930"/>
    <w:rsid w:val="00994DCA"/>
    <w:rsid w:val="0099588D"/>
    <w:rsid w:val="009960EC"/>
    <w:rsid w:val="009970DB"/>
    <w:rsid w:val="009970DD"/>
    <w:rsid w:val="0099720F"/>
    <w:rsid w:val="009A070C"/>
    <w:rsid w:val="009A0FBA"/>
    <w:rsid w:val="009A1601"/>
    <w:rsid w:val="009A1772"/>
    <w:rsid w:val="009A1EFC"/>
    <w:rsid w:val="009A26B6"/>
    <w:rsid w:val="009A3BB6"/>
    <w:rsid w:val="009A462D"/>
    <w:rsid w:val="009A4E94"/>
    <w:rsid w:val="009A4F5E"/>
    <w:rsid w:val="009A5850"/>
    <w:rsid w:val="009A5CBA"/>
    <w:rsid w:val="009A60CF"/>
    <w:rsid w:val="009A67EE"/>
    <w:rsid w:val="009A6950"/>
    <w:rsid w:val="009B0462"/>
    <w:rsid w:val="009B11B2"/>
    <w:rsid w:val="009B1F30"/>
    <w:rsid w:val="009B352E"/>
    <w:rsid w:val="009B3AC2"/>
    <w:rsid w:val="009B412E"/>
    <w:rsid w:val="009B4644"/>
    <w:rsid w:val="009B4757"/>
    <w:rsid w:val="009B4DF4"/>
    <w:rsid w:val="009B5230"/>
    <w:rsid w:val="009B564E"/>
    <w:rsid w:val="009B7E87"/>
    <w:rsid w:val="009B7E8B"/>
    <w:rsid w:val="009C0169"/>
    <w:rsid w:val="009C05B5"/>
    <w:rsid w:val="009C0DFF"/>
    <w:rsid w:val="009C3419"/>
    <w:rsid w:val="009C37DC"/>
    <w:rsid w:val="009C403E"/>
    <w:rsid w:val="009C47E0"/>
    <w:rsid w:val="009C4C35"/>
    <w:rsid w:val="009C4EA0"/>
    <w:rsid w:val="009C538B"/>
    <w:rsid w:val="009C680D"/>
    <w:rsid w:val="009D0428"/>
    <w:rsid w:val="009D0934"/>
    <w:rsid w:val="009D14CA"/>
    <w:rsid w:val="009D1785"/>
    <w:rsid w:val="009D2465"/>
    <w:rsid w:val="009D25AB"/>
    <w:rsid w:val="009D4FF0"/>
    <w:rsid w:val="009D5833"/>
    <w:rsid w:val="009D5853"/>
    <w:rsid w:val="009D703C"/>
    <w:rsid w:val="009D718F"/>
    <w:rsid w:val="009D7B3F"/>
    <w:rsid w:val="009E068F"/>
    <w:rsid w:val="009E123B"/>
    <w:rsid w:val="009E14E0"/>
    <w:rsid w:val="009E1F04"/>
    <w:rsid w:val="009E223B"/>
    <w:rsid w:val="009E35DB"/>
    <w:rsid w:val="009E3641"/>
    <w:rsid w:val="009E3909"/>
    <w:rsid w:val="009E3A32"/>
    <w:rsid w:val="009E4036"/>
    <w:rsid w:val="009E47A3"/>
    <w:rsid w:val="009E5A93"/>
    <w:rsid w:val="009E6311"/>
    <w:rsid w:val="009E73C1"/>
    <w:rsid w:val="009E7632"/>
    <w:rsid w:val="009F052B"/>
    <w:rsid w:val="009F08F3"/>
    <w:rsid w:val="009F094A"/>
    <w:rsid w:val="009F0BC8"/>
    <w:rsid w:val="009F0BF8"/>
    <w:rsid w:val="009F11CA"/>
    <w:rsid w:val="009F1466"/>
    <w:rsid w:val="009F177B"/>
    <w:rsid w:val="009F26A7"/>
    <w:rsid w:val="009F344F"/>
    <w:rsid w:val="009F36F2"/>
    <w:rsid w:val="009F3763"/>
    <w:rsid w:val="009F45F0"/>
    <w:rsid w:val="009F4B06"/>
    <w:rsid w:val="009F4DB0"/>
    <w:rsid w:val="009F5E28"/>
    <w:rsid w:val="009F6431"/>
    <w:rsid w:val="00A01071"/>
    <w:rsid w:val="00A03143"/>
    <w:rsid w:val="00A031D8"/>
    <w:rsid w:val="00A03299"/>
    <w:rsid w:val="00A0373C"/>
    <w:rsid w:val="00A048A8"/>
    <w:rsid w:val="00A04B8C"/>
    <w:rsid w:val="00A04DD0"/>
    <w:rsid w:val="00A04F49"/>
    <w:rsid w:val="00A06BF1"/>
    <w:rsid w:val="00A070C1"/>
    <w:rsid w:val="00A07C4A"/>
    <w:rsid w:val="00A11AC2"/>
    <w:rsid w:val="00A12872"/>
    <w:rsid w:val="00A12B4A"/>
    <w:rsid w:val="00A13E54"/>
    <w:rsid w:val="00A14659"/>
    <w:rsid w:val="00A1493C"/>
    <w:rsid w:val="00A14CF6"/>
    <w:rsid w:val="00A14D1F"/>
    <w:rsid w:val="00A15D9C"/>
    <w:rsid w:val="00A15E30"/>
    <w:rsid w:val="00A15EA8"/>
    <w:rsid w:val="00A168B3"/>
    <w:rsid w:val="00A17F63"/>
    <w:rsid w:val="00A206FA"/>
    <w:rsid w:val="00A20FF3"/>
    <w:rsid w:val="00A2193B"/>
    <w:rsid w:val="00A21B98"/>
    <w:rsid w:val="00A22307"/>
    <w:rsid w:val="00A2267C"/>
    <w:rsid w:val="00A2351A"/>
    <w:rsid w:val="00A23988"/>
    <w:rsid w:val="00A2567C"/>
    <w:rsid w:val="00A264A9"/>
    <w:rsid w:val="00A26DCF"/>
    <w:rsid w:val="00A27785"/>
    <w:rsid w:val="00A30187"/>
    <w:rsid w:val="00A302C1"/>
    <w:rsid w:val="00A30493"/>
    <w:rsid w:val="00A336B4"/>
    <w:rsid w:val="00A3392B"/>
    <w:rsid w:val="00A33C85"/>
    <w:rsid w:val="00A3448A"/>
    <w:rsid w:val="00A357EA"/>
    <w:rsid w:val="00A36297"/>
    <w:rsid w:val="00A36DDE"/>
    <w:rsid w:val="00A37DD9"/>
    <w:rsid w:val="00A40DEF"/>
    <w:rsid w:val="00A41181"/>
    <w:rsid w:val="00A41A1A"/>
    <w:rsid w:val="00A41E2B"/>
    <w:rsid w:val="00A424A9"/>
    <w:rsid w:val="00A4276C"/>
    <w:rsid w:val="00A4298F"/>
    <w:rsid w:val="00A430E4"/>
    <w:rsid w:val="00A444C6"/>
    <w:rsid w:val="00A45214"/>
    <w:rsid w:val="00A45B74"/>
    <w:rsid w:val="00A50971"/>
    <w:rsid w:val="00A51C6E"/>
    <w:rsid w:val="00A5201F"/>
    <w:rsid w:val="00A523A2"/>
    <w:rsid w:val="00A5254B"/>
    <w:rsid w:val="00A52B40"/>
    <w:rsid w:val="00A52E1D"/>
    <w:rsid w:val="00A52FE8"/>
    <w:rsid w:val="00A53582"/>
    <w:rsid w:val="00A538C3"/>
    <w:rsid w:val="00A54626"/>
    <w:rsid w:val="00A60405"/>
    <w:rsid w:val="00A6137C"/>
    <w:rsid w:val="00A61499"/>
    <w:rsid w:val="00A62A77"/>
    <w:rsid w:val="00A631BF"/>
    <w:rsid w:val="00A63305"/>
    <w:rsid w:val="00A63483"/>
    <w:rsid w:val="00A6393B"/>
    <w:rsid w:val="00A657D7"/>
    <w:rsid w:val="00A65C91"/>
    <w:rsid w:val="00A660AC"/>
    <w:rsid w:val="00A66D60"/>
    <w:rsid w:val="00A67E6C"/>
    <w:rsid w:val="00A71A9D"/>
    <w:rsid w:val="00A71B99"/>
    <w:rsid w:val="00A71BAA"/>
    <w:rsid w:val="00A71C95"/>
    <w:rsid w:val="00A72405"/>
    <w:rsid w:val="00A739D0"/>
    <w:rsid w:val="00A740EA"/>
    <w:rsid w:val="00A7469A"/>
    <w:rsid w:val="00A7498B"/>
    <w:rsid w:val="00A75B94"/>
    <w:rsid w:val="00A761D4"/>
    <w:rsid w:val="00A762B9"/>
    <w:rsid w:val="00A77783"/>
    <w:rsid w:val="00A77C2D"/>
    <w:rsid w:val="00A77EC4"/>
    <w:rsid w:val="00A80A18"/>
    <w:rsid w:val="00A812BE"/>
    <w:rsid w:val="00A8197D"/>
    <w:rsid w:val="00A81EE0"/>
    <w:rsid w:val="00A821E7"/>
    <w:rsid w:val="00A8299C"/>
    <w:rsid w:val="00A82F48"/>
    <w:rsid w:val="00A8548D"/>
    <w:rsid w:val="00A856C7"/>
    <w:rsid w:val="00A85795"/>
    <w:rsid w:val="00A85B67"/>
    <w:rsid w:val="00A86BF9"/>
    <w:rsid w:val="00A91161"/>
    <w:rsid w:val="00A92879"/>
    <w:rsid w:val="00A932FA"/>
    <w:rsid w:val="00A93B5F"/>
    <w:rsid w:val="00A9442A"/>
    <w:rsid w:val="00A97BFC"/>
    <w:rsid w:val="00AA016F"/>
    <w:rsid w:val="00AA0D37"/>
    <w:rsid w:val="00AA0E54"/>
    <w:rsid w:val="00AA1B85"/>
    <w:rsid w:val="00AA1ED6"/>
    <w:rsid w:val="00AA24D6"/>
    <w:rsid w:val="00AA2782"/>
    <w:rsid w:val="00AA4155"/>
    <w:rsid w:val="00AA51D6"/>
    <w:rsid w:val="00AA6937"/>
    <w:rsid w:val="00AA76B4"/>
    <w:rsid w:val="00AA7FFA"/>
    <w:rsid w:val="00AB064B"/>
    <w:rsid w:val="00AB0BC8"/>
    <w:rsid w:val="00AB11CA"/>
    <w:rsid w:val="00AB14D9"/>
    <w:rsid w:val="00AB1511"/>
    <w:rsid w:val="00AB1845"/>
    <w:rsid w:val="00AB1F07"/>
    <w:rsid w:val="00AB402E"/>
    <w:rsid w:val="00AB4AB8"/>
    <w:rsid w:val="00AB4E54"/>
    <w:rsid w:val="00AB5A86"/>
    <w:rsid w:val="00AB5E0B"/>
    <w:rsid w:val="00AB64FF"/>
    <w:rsid w:val="00AB655E"/>
    <w:rsid w:val="00AB6701"/>
    <w:rsid w:val="00AC007F"/>
    <w:rsid w:val="00AC01BB"/>
    <w:rsid w:val="00AC177E"/>
    <w:rsid w:val="00AC1CAB"/>
    <w:rsid w:val="00AC1D4E"/>
    <w:rsid w:val="00AC210A"/>
    <w:rsid w:val="00AC2CFE"/>
    <w:rsid w:val="00AC2ECD"/>
    <w:rsid w:val="00AC3119"/>
    <w:rsid w:val="00AC314E"/>
    <w:rsid w:val="00AC373C"/>
    <w:rsid w:val="00AC3932"/>
    <w:rsid w:val="00AC49FB"/>
    <w:rsid w:val="00AC4D84"/>
    <w:rsid w:val="00AC5A10"/>
    <w:rsid w:val="00AC789E"/>
    <w:rsid w:val="00AC7C64"/>
    <w:rsid w:val="00AD0251"/>
    <w:rsid w:val="00AD0A0C"/>
    <w:rsid w:val="00AD0AA3"/>
    <w:rsid w:val="00AD2496"/>
    <w:rsid w:val="00AD2ED0"/>
    <w:rsid w:val="00AD3BEF"/>
    <w:rsid w:val="00AD3F94"/>
    <w:rsid w:val="00AD40F1"/>
    <w:rsid w:val="00AD4A5A"/>
    <w:rsid w:val="00AD6586"/>
    <w:rsid w:val="00AD6F0F"/>
    <w:rsid w:val="00AE07CE"/>
    <w:rsid w:val="00AE27AC"/>
    <w:rsid w:val="00AE40E0"/>
    <w:rsid w:val="00AE4DBA"/>
    <w:rsid w:val="00AE4F07"/>
    <w:rsid w:val="00AE5699"/>
    <w:rsid w:val="00AE7F67"/>
    <w:rsid w:val="00AF16DC"/>
    <w:rsid w:val="00AF1C5D"/>
    <w:rsid w:val="00AF213C"/>
    <w:rsid w:val="00AF24D9"/>
    <w:rsid w:val="00AF2577"/>
    <w:rsid w:val="00AF282C"/>
    <w:rsid w:val="00AF34CD"/>
    <w:rsid w:val="00AF3D7C"/>
    <w:rsid w:val="00AF42D7"/>
    <w:rsid w:val="00AF4A75"/>
    <w:rsid w:val="00AF5C00"/>
    <w:rsid w:val="00AF627E"/>
    <w:rsid w:val="00AF6C93"/>
    <w:rsid w:val="00AF7CA7"/>
    <w:rsid w:val="00B006FE"/>
    <w:rsid w:val="00B007CB"/>
    <w:rsid w:val="00B0195E"/>
    <w:rsid w:val="00B02769"/>
    <w:rsid w:val="00B027A7"/>
    <w:rsid w:val="00B02AA9"/>
    <w:rsid w:val="00B02FA3"/>
    <w:rsid w:val="00B03374"/>
    <w:rsid w:val="00B05084"/>
    <w:rsid w:val="00B05255"/>
    <w:rsid w:val="00B058F6"/>
    <w:rsid w:val="00B072F3"/>
    <w:rsid w:val="00B10107"/>
    <w:rsid w:val="00B10128"/>
    <w:rsid w:val="00B1030F"/>
    <w:rsid w:val="00B10C9C"/>
    <w:rsid w:val="00B12C49"/>
    <w:rsid w:val="00B1365D"/>
    <w:rsid w:val="00B138A4"/>
    <w:rsid w:val="00B148A1"/>
    <w:rsid w:val="00B15134"/>
    <w:rsid w:val="00B15163"/>
    <w:rsid w:val="00B157F9"/>
    <w:rsid w:val="00B17974"/>
    <w:rsid w:val="00B17CC0"/>
    <w:rsid w:val="00B17D09"/>
    <w:rsid w:val="00B20256"/>
    <w:rsid w:val="00B20D09"/>
    <w:rsid w:val="00B21280"/>
    <w:rsid w:val="00B21A1B"/>
    <w:rsid w:val="00B22CDF"/>
    <w:rsid w:val="00B23AAE"/>
    <w:rsid w:val="00B24899"/>
    <w:rsid w:val="00B25682"/>
    <w:rsid w:val="00B25E6B"/>
    <w:rsid w:val="00B26356"/>
    <w:rsid w:val="00B2748B"/>
    <w:rsid w:val="00B2763F"/>
    <w:rsid w:val="00B27AAC"/>
    <w:rsid w:val="00B27DAC"/>
    <w:rsid w:val="00B30929"/>
    <w:rsid w:val="00B3132F"/>
    <w:rsid w:val="00B33E09"/>
    <w:rsid w:val="00B34971"/>
    <w:rsid w:val="00B34AA4"/>
    <w:rsid w:val="00B35DF7"/>
    <w:rsid w:val="00B364E2"/>
    <w:rsid w:val="00B366E2"/>
    <w:rsid w:val="00B372AA"/>
    <w:rsid w:val="00B373C7"/>
    <w:rsid w:val="00B40445"/>
    <w:rsid w:val="00B408D1"/>
    <w:rsid w:val="00B409D8"/>
    <w:rsid w:val="00B409E0"/>
    <w:rsid w:val="00B41050"/>
    <w:rsid w:val="00B41888"/>
    <w:rsid w:val="00B44816"/>
    <w:rsid w:val="00B45343"/>
    <w:rsid w:val="00B45417"/>
    <w:rsid w:val="00B456CC"/>
    <w:rsid w:val="00B45A52"/>
    <w:rsid w:val="00B45B58"/>
    <w:rsid w:val="00B46175"/>
    <w:rsid w:val="00B4720A"/>
    <w:rsid w:val="00B4731E"/>
    <w:rsid w:val="00B47ACA"/>
    <w:rsid w:val="00B47E39"/>
    <w:rsid w:val="00B47FED"/>
    <w:rsid w:val="00B51078"/>
    <w:rsid w:val="00B5115B"/>
    <w:rsid w:val="00B5255F"/>
    <w:rsid w:val="00B545C4"/>
    <w:rsid w:val="00B548B7"/>
    <w:rsid w:val="00B54B83"/>
    <w:rsid w:val="00B54F8B"/>
    <w:rsid w:val="00B57864"/>
    <w:rsid w:val="00B6006B"/>
    <w:rsid w:val="00B60BE6"/>
    <w:rsid w:val="00B614E0"/>
    <w:rsid w:val="00B619B0"/>
    <w:rsid w:val="00B6208C"/>
    <w:rsid w:val="00B63494"/>
    <w:rsid w:val="00B64D00"/>
    <w:rsid w:val="00B64EA8"/>
    <w:rsid w:val="00B64FA5"/>
    <w:rsid w:val="00B664C7"/>
    <w:rsid w:val="00B67F18"/>
    <w:rsid w:val="00B70235"/>
    <w:rsid w:val="00B71B94"/>
    <w:rsid w:val="00B71BD7"/>
    <w:rsid w:val="00B71F0A"/>
    <w:rsid w:val="00B7237C"/>
    <w:rsid w:val="00B727FD"/>
    <w:rsid w:val="00B728BD"/>
    <w:rsid w:val="00B7384A"/>
    <w:rsid w:val="00B739F6"/>
    <w:rsid w:val="00B7464F"/>
    <w:rsid w:val="00B74A2D"/>
    <w:rsid w:val="00B74B48"/>
    <w:rsid w:val="00B752A2"/>
    <w:rsid w:val="00B753FD"/>
    <w:rsid w:val="00B757A7"/>
    <w:rsid w:val="00B75864"/>
    <w:rsid w:val="00B76268"/>
    <w:rsid w:val="00B7655A"/>
    <w:rsid w:val="00B8086B"/>
    <w:rsid w:val="00B80B19"/>
    <w:rsid w:val="00B80CB8"/>
    <w:rsid w:val="00B8128E"/>
    <w:rsid w:val="00B81A6C"/>
    <w:rsid w:val="00B8397C"/>
    <w:rsid w:val="00B84DF3"/>
    <w:rsid w:val="00B855CA"/>
    <w:rsid w:val="00B85712"/>
    <w:rsid w:val="00B85DE5"/>
    <w:rsid w:val="00B86158"/>
    <w:rsid w:val="00B8790A"/>
    <w:rsid w:val="00B90B22"/>
    <w:rsid w:val="00B90F73"/>
    <w:rsid w:val="00B9109C"/>
    <w:rsid w:val="00B93B59"/>
    <w:rsid w:val="00B9406A"/>
    <w:rsid w:val="00B94281"/>
    <w:rsid w:val="00B94DAE"/>
    <w:rsid w:val="00B94F2A"/>
    <w:rsid w:val="00B96944"/>
    <w:rsid w:val="00BA0164"/>
    <w:rsid w:val="00BA0D4A"/>
    <w:rsid w:val="00BA2280"/>
    <w:rsid w:val="00BA2A08"/>
    <w:rsid w:val="00BA2A9D"/>
    <w:rsid w:val="00BA35EA"/>
    <w:rsid w:val="00BA424C"/>
    <w:rsid w:val="00BA48FB"/>
    <w:rsid w:val="00BA4B30"/>
    <w:rsid w:val="00BA56D2"/>
    <w:rsid w:val="00BA6B5B"/>
    <w:rsid w:val="00BA76E0"/>
    <w:rsid w:val="00BA79E6"/>
    <w:rsid w:val="00BA7A67"/>
    <w:rsid w:val="00BA7E68"/>
    <w:rsid w:val="00BB1064"/>
    <w:rsid w:val="00BB1385"/>
    <w:rsid w:val="00BB212F"/>
    <w:rsid w:val="00BB2A25"/>
    <w:rsid w:val="00BB3389"/>
    <w:rsid w:val="00BB3F71"/>
    <w:rsid w:val="00BB51E9"/>
    <w:rsid w:val="00BB5360"/>
    <w:rsid w:val="00BB5A30"/>
    <w:rsid w:val="00BB5C3B"/>
    <w:rsid w:val="00BB7165"/>
    <w:rsid w:val="00BB7325"/>
    <w:rsid w:val="00BB7740"/>
    <w:rsid w:val="00BC0B8D"/>
    <w:rsid w:val="00BC0FDC"/>
    <w:rsid w:val="00BC0FF9"/>
    <w:rsid w:val="00BC11E3"/>
    <w:rsid w:val="00BC1BC0"/>
    <w:rsid w:val="00BC3053"/>
    <w:rsid w:val="00BC3476"/>
    <w:rsid w:val="00BC36CB"/>
    <w:rsid w:val="00BC3895"/>
    <w:rsid w:val="00BC3E54"/>
    <w:rsid w:val="00BC4703"/>
    <w:rsid w:val="00BC4D2E"/>
    <w:rsid w:val="00BC5540"/>
    <w:rsid w:val="00BC5C6E"/>
    <w:rsid w:val="00BC6090"/>
    <w:rsid w:val="00BC7D24"/>
    <w:rsid w:val="00BD169F"/>
    <w:rsid w:val="00BD194D"/>
    <w:rsid w:val="00BD36D8"/>
    <w:rsid w:val="00BD48AC"/>
    <w:rsid w:val="00BD4C1B"/>
    <w:rsid w:val="00BD50E4"/>
    <w:rsid w:val="00BD53CF"/>
    <w:rsid w:val="00BD5F1A"/>
    <w:rsid w:val="00BD657C"/>
    <w:rsid w:val="00BD6B55"/>
    <w:rsid w:val="00BE1234"/>
    <w:rsid w:val="00BE185D"/>
    <w:rsid w:val="00BE2FA6"/>
    <w:rsid w:val="00BE333F"/>
    <w:rsid w:val="00BE340C"/>
    <w:rsid w:val="00BE34EE"/>
    <w:rsid w:val="00BE3A24"/>
    <w:rsid w:val="00BE7406"/>
    <w:rsid w:val="00BE75A7"/>
    <w:rsid w:val="00BE7603"/>
    <w:rsid w:val="00BF05B3"/>
    <w:rsid w:val="00BF14D5"/>
    <w:rsid w:val="00BF14E9"/>
    <w:rsid w:val="00BF24A6"/>
    <w:rsid w:val="00BF2D6B"/>
    <w:rsid w:val="00BF3245"/>
    <w:rsid w:val="00BF3279"/>
    <w:rsid w:val="00BF372E"/>
    <w:rsid w:val="00BF3F6A"/>
    <w:rsid w:val="00BF53DF"/>
    <w:rsid w:val="00BF5449"/>
    <w:rsid w:val="00BF5A89"/>
    <w:rsid w:val="00BF74C7"/>
    <w:rsid w:val="00BF7A0D"/>
    <w:rsid w:val="00C0033A"/>
    <w:rsid w:val="00C0143E"/>
    <w:rsid w:val="00C015F1"/>
    <w:rsid w:val="00C01AFB"/>
    <w:rsid w:val="00C01F33"/>
    <w:rsid w:val="00C023B0"/>
    <w:rsid w:val="00C02CC6"/>
    <w:rsid w:val="00C02FE3"/>
    <w:rsid w:val="00C0348B"/>
    <w:rsid w:val="00C040F7"/>
    <w:rsid w:val="00C044AB"/>
    <w:rsid w:val="00C047D6"/>
    <w:rsid w:val="00C04C6F"/>
    <w:rsid w:val="00C05706"/>
    <w:rsid w:val="00C07377"/>
    <w:rsid w:val="00C10478"/>
    <w:rsid w:val="00C10F15"/>
    <w:rsid w:val="00C12107"/>
    <w:rsid w:val="00C12EFE"/>
    <w:rsid w:val="00C1325F"/>
    <w:rsid w:val="00C14BCE"/>
    <w:rsid w:val="00C14D4B"/>
    <w:rsid w:val="00C154BB"/>
    <w:rsid w:val="00C15C9B"/>
    <w:rsid w:val="00C15EB6"/>
    <w:rsid w:val="00C16443"/>
    <w:rsid w:val="00C16FC6"/>
    <w:rsid w:val="00C21793"/>
    <w:rsid w:val="00C221FA"/>
    <w:rsid w:val="00C23240"/>
    <w:rsid w:val="00C23DE8"/>
    <w:rsid w:val="00C24466"/>
    <w:rsid w:val="00C262F1"/>
    <w:rsid w:val="00C27362"/>
    <w:rsid w:val="00C2750A"/>
    <w:rsid w:val="00C279B5"/>
    <w:rsid w:val="00C27C45"/>
    <w:rsid w:val="00C3045C"/>
    <w:rsid w:val="00C32345"/>
    <w:rsid w:val="00C328EE"/>
    <w:rsid w:val="00C335AD"/>
    <w:rsid w:val="00C34005"/>
    <w:rsid w:val="00C34CAD"/>
    <w:rsid w:val="00C36E02"/>
    <w:rsid w:val="00C3719D"/>
    <w:rsid w:val="00C37B09"/>
    <w:rsid w:val="00C37CB2"/>
    <w:rsid w:val="00C4023F"/>
    <w:rsid w:val="00C40BBC"/>
    <w:rsid w:val="00C41EB1"/>
    <w:rsid w:val="00C423EC"/>
    <w:rsid w:val="00C43612"/>
    <w:rsid w:val="00C4377E"/>
    <w:rsid w:val="00C4378A"/>
    <w:rsid w:val="00C4390B"/>
    <w:rsid w:val="00C44B97"/>
    <w:rsid w:val="00C46883"/>
    <w:rsid w:val="00C46E02"/>
    <w:rsid w:val="00C46E55"/>
    <w:rsid w:val="00C473A5"/>
    <w:rsid w:val="00C47485"/>
    <w:rsid w:val="00C47DF7"/>
    <w:rsid w:val="00C51136"/>
    <w:rsid w:val="00C514F6"/>
    <w:rsid w:val="00C526BA"/>
    <w:rsid w:val="00C53307"/>
    <w:rsid w:val="00C54650"/>
    <w:rsid w:val="00C54995"/>
    <w:rsid w:val="00C54D41"/>
    <w:rsid w:val="00C5556F"/>
    <w:rsid w:val="00C55F87"/>
    <w:rsid w:val="00C57349"/>
    <w:rsid w:val="00C60783"/>
    <w:rsid w:val="00C60947"/>
    <w:rsid w:val="00C60A1F"/>
    <w:rsid w:val="00C60E86"/>
    <w:rsid w:val="00C62301"/>
    <w:rsid w:val="00C62675"/>
    <w:rsid w:val="00C62AA5"/>
    <w:rsid w:val="00C62C5C"/>
    <w:rsid w:val="00C62D4E"/>
    <w:rsid w:val="00C63FCA"/>
    <w:rsid w:val="00C640F5"/>
    <w:rsid w:val="00C64672"/>
    <w:rsid w:val="00C65FD7"/>
    <w:rsid w:val="00C70697"/>
    <w:rsid w:val="00C716F2"/>
    <w:rsid w:val="00C72093"/>
    <w:rsid w:val="00C72291"/>
    <w:rsid w:val="00C72EF4"/>
    <w:rsid w:val="00C738AA"/>
    <w:rsid w:val="00C744FE"/>
    <w:rsid w:val="00C748CE"/>
    <w:rsid w:val="00C751B8"/>
    <w:rsid w:val="00C75465"/>
    <w:rsid w:val="00C756F1"/>
    <w:rsid w:val="00C75D2F"/>
    <w:rsid w:val="00C76330"/>
    <w:rsid w:val="00C767BE"/>
    <w:rsid w:val="00C76E3C"/>
    <w:rsid w:val="00C81568"/>
    <w:rsid w:val="00C8165D"/>
    <w:rsid w:val="00C83266"/>
    <w:rsid w:val="00C83A46"/>
    <w:rsid w:val="00C84909"/>
    <w:rsid w:val="00C84AE1"/>
    <w:rsid w:val="00C852B1"/>
    <w:rsid w:val="00C85478"/>
    <w:rsid w:val="00C8580D"/>
    <w:rsid w:val="00C861CA"/>
    <w:rsid w:val="00C86753"/>
    <w:rsid w:val="00C87A04"/>
    <w:rsid w:val="00C87F3C"/>
    <w:rsid w:val="00C9027A"/>
    <w:rsid w:val="00C9068E"/>
    <w:rsid w:val="00C90A78"/>
    <w:rsid w:val="00C90F07"/>
    <w:rsid w:val="00C92A77"/>
    <w:rsid w:val="00C93814"/>
    <w:rsid w:val="00C93C4B"/>
    <w:rsid w:val="00C944AB"/>
    <w:rsid w:val="00C95B40"/>
    <w:rsid w:val="00C95C8A"/>
    <w:rsid w:val="00C9709F"/>
    <w:rsid w:val="00C970F7"/>
    <w:rsid w:val="00C97FB8"/>
    <w:rsid w:val="00CA065F"/>
    <w:rsid w:val="00CA1BAD"/>
    <w:rsid w:val="00CA1ED8"/>
    <w:rsid w:val="00CA206F"/>
    <w:rsid w:val="00CA38D6"/>
    <w:rsid w:val="00CA738A"/>
    <w:rsid w:val="00CA7739"/>
    <w:rsid w:val="00CB13E7"/>
    <w:rsid w:val="00CB1F63"/>
    <w:rsid w:val="00CB216A"/>
    <w:rsid w:val="00CB32DC"/>
    <w:rsid w:val="00CB5416"/>
    <w:rsid w:val="00CB5B42"/>
    <w:rsid w:val="00CB5B4D"/>
    <w:rsid w:val="00CB7170"/>
    <w:rsid w:val="00CB7429"/>
    <w:rsid w:val="00CC040E"/>
    <w:rsid w:val="00CC0A3B"/>
    <w:rsid w:val="00CC111F"/>
    <w:rsid w:val="00CC2011"/>
    <w:rsid w:val="00CC3EA0"/>
    <w:rsid w:val="00CC4AC5"/>
    <w:rsid w:val="00CC4EAF"/>
    <w:rsid w:val="00CC5B69"/>
    <w:rsid w:val="00CC6292"/>
    <w:rsid w:val="00CC63E2"/>
    <w:rsid w:val="00CC7040"/>
    <w:rsid w:val="00CC7B45"/>
    <w:rsid w:val="00CD0E29"/>
    <w:rsid w:val="00CD1188"/>
    <w:rsid w:val="00CD1AD5"/>
    <w:rsid w:val="00CD2512"/>
    <w:rsid w:val="00CD2ED1"/>
    <w:rsid w:val="00CD337B"/>
    <w:rsid w:val="00CD48EE"/>
    <w:rsid w:val="00CD56CE"/>
    <w:rsid w:val="00CD56F0"/>
    <w:rsid w:val="00CD6B6A"/>
    <w:rsid w:val="00CD71FD"/>
    <w:rsid w:val="00CD7796"/>
    <w:rsid w:val="00CE0424"/>
    <w:rsid w:val="00CE1076"/>
    <w:rsid w:val="00CE364E"/>
    <w:rsid w:val="00CE38C5"/>
    <w:rsid w:val="00CE5B1B"/>
    <w:rsid w:val="00CE5FDB"/>
    <w:rsid w:val="00CE71CC"/>
    <w:rsid w:val="00CE7561"/>
    <w:rsid w:val="00CE7C80"/>
    <w:rsid w:val="00CF1354"/>
    <w:rsid w:val="00CF1399"/>
    <w:rsid w:val="00CF1B8B"/>
    <w:rsid w:val="00CF1BA9"/>
    <w:rsid w:val="00CF2B5C"/>
    <w:rsid w:val="00CF2DD4"/>
    <w:rsid w:val="00CF3249"/>
    <w:rsid w:val="00CF3B1F"/>
    <w:rsid w:val="00CF3BF6"/>
    <w:rsid w:val="00CF465A"/>
    <w:rsid w:val="00CF55F4"/>
    <w:rsid w:val="00CF6255"/>
    <w:rsid w:val="00CF625B"/>
    <w:rsid w:val="00CF65C3"/>
    <w:rsid w:val="00CF687E"/>
    <w:rsid w:val="00CF6F7B"/>
    <w:rsid w:val="00CF7421"/>
    <w:rsid w:val="00CF793C"/>
    <w:rsid w:val="00D0111E"/>
    <w:rsid w:val="00D0349B"/>
    <w:rsid w:val="00D036E2"/>
    <w:rsid w:val="00D039A3"/>
    <w:rsid w:val="00D052B4"/>
    <w:rsid w:val="00D05344"/>
    <w:rsid w:val="00D055E7"/>
    <w:rsid w:val="00D06493"/>
    <w:rsid w:val="00D06933"/>
    <w:rsid w:val="00D06D2D"/>
    <w:rsid w:val="00D06EC6"/>
    <w:rsid w:val="00D07B23"/>
    <w:rsid w:val="00D07E6B"/>
    <w:rsid w:val="00D10249"/>
    <w:rsid w:val="00D115C3"/>
    <w:rsid w:val="00D11897"/>
    <w:rsid w:val="00D11B31"/>
    <w:rsid w:val="00D12CFE"/>
    <w:rsid w:val="00D13135"/>
    <w:rsid w:val="00D138A5"/>
    <w:rsid w:val="00D13E4E"/>
    <w:rsid w:val="00D14471"/>
    <w:rsid w:val="00D16F7A"/>
    <w:rsid w:val="00D17D3C"/>
    <w:rsid w:val="00D20007"/>
    <w:rsid w:val="00D20459"/>
    <w:rsid w:val="00D20C0C"/>
    <w:rsid w:val="00D212CE"/>
    <w:rsid w:val="00D21BCB"/>
    <w:rsid w:val="00D2395A"/>
    <w:rsid w:val="00D239A7"/>
    <w:rsid w:val="00D23F47"/>
    <w:rsid w:val="00D24BCC"/>
    <w:rsid w:val="00D253F8"/>
    <w:rsid w:val="00D263A5"/>
    <w:rsid w:val="00D265EB"/>
    <w:rsid w:val="00D273B4"/>
    <w:rsid w:val="00D27CBE"/>
    <w:rsid w:val="00D31F69"/>
    <w:rsid w:val="00D333CA"/>
    <w:rsid w:val="00D33E77"/>
    <w:rsid w:val="00D35193"/>
    <w:rsid w:val="00D35586"/>
    <w:rsid w:val="00D36B0E"/>
    <w:rsid w:val="00D36E71"/>
    <w:rsid w:val="00D36FD3"/>
    <w:rsid w:val="00D37A31"/>
    <w:rsid w:val="00D37D87"/>
    <w:rsid w:val="00D40B33"/>
    <w:rsid w:val="00D4104E"/>
    <w:rsid w:val="00D41DA7"/>
    <w:rsid w:val="00D42464"/>
    <w:rsid w:val="00D42755"/>
    <w:rsid w:val="00D4318F"/>
    <w:rsid w:val="00D43688"/>
    <w:rsid w:val="00D438BF"/>
    <w:rsid w:val="00D43B7E"/>
    <w:rsid w:val="00D43E84"/>
    <w:rsid w:val="00D440F8"/>
    <w:rsid w:val="00D44680"/>
    <w:rsid w:val="00D4509A"/>
    <w:rsid w:val="00D514FE"/>
    <w:rsid w:val="00D526E5"/>
    <w:rsid w:val="00D53223"/>
    <w:rsid w:val="00D5375B"/>
    <w:rsid w:val="00D539A3"/>
    <w:rsid w:val="00D5400D"/>
    <w:rsid w:val="00D542B0"/>
    <w:rsid w:val="00D544D9"/>
    <w:rsid w:val="00D546FF"/>
    <w:rsid w:val="00D55058"/>
    <w:rsid w:val="00D55AD5"/>
    <w:rsid w:val="00D575BE"/>
    <w:rsid w:val="00D576CA"/>
    <w:rsid w:val="00D57E04"/>
    <w:rsid w:val="00D60305"/>
    <w:rsid w:val="00D60C98"/>
    <w:rsid w:val="00D61071"/>
    <w:rsid w:val="00D61099"/>
    <w:rsid w:val="00D617F4"/>
    <w:rsid w:val="00D61AF5"/>
    <w:rsid w:val="00D6223A"/>
    <w:rsid w:val="00D638C0"/>
    <w:rsid w:val="00D63AC7"/>
    <w:rsid w:val="00D64437"/>
    <w:rsid w:val="00D64A4D"/>
    <w:rsid w:val="00D652B5"/>
    <w:rsid w:val="00D66155"/>
    <w:rsid w:val="00D708B0"/>
    <w:rsid w:val="00D70A3E"/>
    <w:rsid w:val="00D70C89"/>
    <w:rsid w:val="00D73D8D"/>
    <w:rsid w:val="00D7483A"/>
    <w:rsid w:val="00D75910"/>
    <w:rsid w:val="00D760DD"/>
    <w:rsid w:val="00D76F30"/>
    <w:rsid w:val="00D77431"/>
    <w:rsid w:val="00D77889"/>
    <w:rsid w:val="00D77B1D"/>
    <w:rsid w:val="00D8021F"/>
    <w:rsid w:val="00D80383"/>
    <w:rsid w:val="00D8082D"/>
    <w:rsid w:val="00D823C6"/>
    <w:rsid w:val="00D8327F"/>
    <w:rsid w:val="00D84E55"/>
    <w:rsid w:val="00D86CA3"/>
    <w:rsid w:val="00D871CE"/>
    <w:rsid w:val="00D875B3"/>
    <w:rsid w:val="00D91570"/>
    <w:rsid w:val="00D9196D"/>
    <w:rsid w:val="00D92982"/>
    <w:rsid w:val="00D95621"/>
    <w:rsid w:val="00D96F9D"/>
    <w:rsid w:val="00DA0B14"/>
    <w:rsid w:val="00DA0FC6"/>
    <w:rsid w:val="00DA305E"/>
    <w:rsid w:val="00DA3C62"/>
    <w:rsid w:val="00DA5417"/>
    <w:rsid w:val="00DA56E8"/>
    <w:rsid w:val="00DA5918"/>
    <w:rsid w:val="00DA6567"/>
    <w:rsid w:val="00DA6D96"/>
    <w:rsid w:val="00DA72A6"/>
    <w:rsid w:val="00DA7497"/>
    <w:rsid w:val="00DA7726"/>
    <w:rsid w:val="00DA7F12"/>
    <w:rsid w:val="00DB0A9F"/>
    <w:rsid w:val="00DB0F8A"/>
    <w:rsid w:val="00DB11AF"/>
    <w:rsid w:val="00DB201E"/>
    <w:rsid w:val="00DB2DD3"/>
    <w:rsid w:val="00DB377D"/>
    <w:rsid w:val="00DB39E0"/>
    <w:rsid w:val="00DB39F0"/>
    <w:rsid w:val="00DB3C60"/>
    <w:rsid w:val="00DB4CF3"/>
    <w:rsid w:val="00DB4FA4"/>
    <w:rsid w:val="00DB50A6"/>
    <w:rsid w:val="00DB543C"/>
    <w:rsid w:val="00DB54F6"/>
    <w:rsid w:val="00DB5645"/>
    <w:rsid w:val="00DB5FB3"/>
    <w:rsid w:val="00DB690E"/>
    <w:rsid w:val="00DB691E"/>
    <w:rsid w:val="00DB6A4C"/>
    <w:rsid w:val="00DB76B5"/>
    <w:rsid w:val="00DC00CC"/>
    <w:rsid w:val="00DC136D"/>
    <w:rsid w:val="00DC176A"/>
    <w:rsid w:val="00DC209A"/>
    <w:rsid w:val="00DC2901"/>
    <w:rsid w:val="00DC2D36"/>
    <w:rsid w:val="00DC2F8F"/>
    <w:rsid w:val="00DC3C84"/>
    <w:rsid w:val="00DC53EF"/>
    <w:rsid w:val="00DC5431"/>
    <w:rsid w:val="00DC5550"/>
    <w:rsid w:val="00DC6CA2"/>
    <w:rsid w:val="00DC7A5F"/>
    <w:rsid w:val="00DD0466"/>
    <w:rsid w:val="00DD2B87"/>
    <w:rsid w:val="00DD6080"/>
    <w:rsid w:val="00DE1ABC"/>
    <w:rsid w:val="00DE2B3F"/>
    <w:rsid w:val="00DE4812"/>
    <w:rsid w:val="00DE5608"/>
    <w:rsid w:val="00DE58D0"/>
    <w:rsid w:val="00DE654F"/>
    <w:rsid w:val="00DE699E"/>
    <w:rsid w:val="00DF008B"/>
    <w:rsid w:val="00DF0A64"/>
    <w:rsid w:val="00DF0B6E"/>
    <w:rsid w:val="00DF14AA"/>
    <w:rsid w:val="00DF15E0"/>
    <w:rsid w:val="00DF2D5E"/>
    <w:rsid w:val="00DF37A0"/>
    <w:rsid w:val="00DF65BB"/>
    <w:rsid w:val="00DF6BD1"/>
    <w:rsid w:val="00DF725F"/>
    <w:rsid w:val="00DF7869"/>
    <w:rsid w:val="00E0076C"/>
    <w:rsid w:val="00E00EA0"/>
    <w:rsid w:val="00E020BD"/>
    <w:rsid w:val="00E02BD9"/>
    <w:rsid w:val="00E02DDD"/>
    <w:rsid w:val="00E0319D"/>
    <w:rsid w:val="00E03240"/>
    <w:rsid w:val="00E040F5"/>
    <w:rsid w:val="00E04606"/>
    <w:rsid w:val="00E05091"/>
    <w:rsid w:val="00E0589E"/>
    <w:rsid w:val="00E059E4"/>
    <w:rsid w:val="00E05E6B"/>
    <w:rsid w:val="00E0767E"/>
    <w:rsid w:val="00E10370"/>
    <w:rsid w:val="00E110E7"/>
    <w:rsid w:val="00E11169"/>
    <w:rsid w:val="00E11771"/>
    <w:rsid w:val="00E11B20"/>
    <w:rsid w:val="00E11B85"/>
    <w:rsid w:val="00E13087"/>
    <w:rsid w:val="00E1308D"/>
    <w:rsid w:val="00E1468B"/>
    <w:rsid w:val="00E16DA9"/>
    <w:rsid w:val="00E17FA2"/>
    <w:rsid w:val="00E20AD2"/>
    <w:rsid w:val="00E20BBD"/>
    <w:rsid w:val="00E211A1"/>
    <w:rsid w:val="00E2142D"/>
    <w:rsid w:val="00E22330"/>
    <w:rsid w:val="00E224B1"/>
    <w:rsid w:val="00E23A8A"/>
    <w:rsid w:val="00E23AE2"/>
    <w:rsid w:val="00E255FA"/>
    <w:rsid w:val="00E2562B"/>
    <w:rsid w:val="00E258B8"/>
    <w:rsid w:val="00E2704F"/>
    <w:rsid w:val="00E3039A"/>
    <w:rsid w:val="00E30B5A"/>
    <w:rsid w:val="00E3123D"/>
    <w:rsid w:val="00E3138C"/>
    <w:rsid w:val="00E31461"/>
    <w:rsid w:val="00E31D43"/>
    <w:rsid w:val="00E32608"/>
    <w:rsid w:val="00E32B9F"/>
    <w:rsid w:val="00E33A21"/>
    <w:rsid w:val="00E34188"/>
    <w:rsid w:val="00E34B6E"/>
    <w:rsid w:val="00E35559"/>
    <w:rsid w:val="00E35DAF"/>
    <w:rsid w:val="00E36737"/>
    <w:rsid w:val="00E36EB3"/>
    <w:rsid w:val="00E3723A"/>
    <w:rsid w:val="00E37860"/>
    <w:rsid w:val="00E37ED3"/>
    <w:rsid w:val="00E4187A"/>
    <w:rsid w:val="00E41CB7"/>
    <w:rsid w:val="00E42402"/>
    <w:rsid w:val="00E427E9"/>
    <w:rsid w:val="00E42989"/>
    <w:rsid w:val="00E43268"/>
    <w:rsid w:val="00E446F1"/>
    <w:rsid w:val="00E46886"/>
    <w:rsid w:val="00E47AEF"/>
    <w:rsid w:val="00E50299"/>
    <w:rsid w:val="00E51112"/>
    <w:rsid w:val="00E518F4"/>
    <w:rsid w:val="00E52A37"/>
    <w:rsid w:val="00E5347E"/>
    <w:rsid w:val="00E534F1"/>
    <w:rsid w:val="00E53B75"/>
    <w:rsid w:val="00E54350"/>
    <w:rsid w:val="00E54DA4"/>
    <w:rsid w:val="00E54E3B"/>
    <w:rsid w:val="00E55680"/>
    <w:rsid w:val="00E558C1"/>
    <w:rsid w:val="00E55FD2"/>
    <w:rsid w:val="00E56AF0"/>
    <w:rsid w:val="00E57565"/>
    <w:rsid w:val="00E57A92"/>
    <w:rsid w:val="00E60B83"/>
    <w:rsid w:val="00E63838"/>
    <w:rsid w:val="00E64434"/>
    <w:rsid w:val="00E644C2"/>
    <w:rsid w:val="00E66F30"/>
    <w:rsid w:val="00E676A2"/>
    <w:rsid w:val="00E67C51"/>
    <w:rsid w:val="00E7015B"/>
    <w:rsid w:val="00E7187D"/>
    <w:rsid w:val="00E72EFC"/>
    <w:rsid w:val="00E73A59"/>
    <w:rsid w:val="00E75057"/>
    <w:rsid w:val="00E75058"/>
    <w:rsid w:val="00E758EC"/>
    <w:rsid w:val="00E75BA2"/>
    <w:rsid w:val="00E75E09"/>
    <w:rsid w:val="00E761C8"/>
    <w:rsid w:val="00E77A16"/>
    <w:rsid w:val="00E77AAF"/>
    <w:rsid w:val="00E811CA"/>
    <w:rsid w:val="00E81AA1"/>
    <w:rsid w:val="00E81CCD"/>
    <w:rsid w:val="00E8234C"/>
    <w:rsid w:val="00E83AA9"/>
    <w:rsid w:val="00E83B30"/>
    <w:rsid w:val="00E85476"/>
    <w:rsid w:val="00E85928"/>
    <w:rsid w:val="00E86D56"/>
    <w:rsid w:val="00E87822"/>
    <w:rsid w:val="00E90395"/>
    <w:rsid w:val="00E90E49"/>
    <w:rsid w:val="00E917F9"/>
    <w:rsid w:val="00E92162"/>
    <w:rsid w:val="00E9291C"/>
    <w:rsid w:val="00E93FFE"/>
    <w:rsid w:val="00E94F8A"/>
    <w:rsid w:val="00E96003"/>
    <w:rsid w:val="00E96339"/>
    <w:rsid w:val="00E96766"/>
    <w:rsid w:val="00E97823"/>
    <w:rsid w:val="00E97AEC"/>
    <w:rsid w:val="00EA0A21"/>
    <w:rsid w:val="00EA0D58"/>
    <w:rsid w:val="00EA0EC9"/>
    <w:rsid w:val="00EA15C2"/>
    <w:rsid w:val="00EA205C"/>
    <w:rsid w:val="00EA3E5C"/>
    <w:rsid w:val="00EA53B8"/>
    <w:rsid w:val="00EA5410"/>
    <w:rsid w:val="00EA5434"/>
    <w:rsid w:val="00EA75A4"/>
    <w:rsid w:val="00EA7608"/>
    <w:rsid w:val="00EA7A41"/>
    <w:rsid w:val="00EB0149"/>
    <w:rsid w:val="00EB077B"/>
    <w:rsid w:val="00EB0D0E"/>
    <w:rsid w:val="00EB1AF0"/>
    <w:rsid w:val="00EB215A"/>
    <w:rsid w:val="00EB2DB6"/>
    <w:rsid w:val="00EB3D49"/>
    <w:rsid w:val="00EB4EA2"/>
    <w:rsid w:val="00EB549F"/>
    <w:rsid w:val="00EB6F88"/>
    <w:rsid w:val="00EB7079"/>
    <w:rsid w:val="00EB7252"/>
    <w:rsid w:val="00EB7EDC"/>
    <w:rsid w:val="00EC0447"/>
    <w:rsid w:val="00EC0D11"/>
    <w:rsid w:val="00EC0EC2"/>
    <w:rsid w:val="00EC2114"/>
    <w:rsid w:val="00EC24D5"/>
    <w:rsid w:val="00EC27C6"/>
    <w:rsid w:val="00EC31BE"/>
    <w:rsid w:val="00EC3459"/>
    <w:rsid w:val="00EC371A"/>
    <w:rsid w:val="00EC3FE4"/>
    <w:rsid w:val="00EC4105"/>
    <w:rsid w:val="00EC4207"/>
    <w:rsid w:val="00EC5653"/>
    <w:rsid w:val="00EC56D2"/>
    <w:rsid w:val="00EC60E1"/>
    <w:rsid w:val="00EC65C3"/>
    <w:rsid w:val="00EC71CE"/>
    <w:rsid w:val="00ED1006"/>
    <w:rsid w:val="00ED1EEC"/>
    <w:rsid w:val="00ED202F"/>
    <w:rsid w:val="00ED4605"/>
    <w:rsid w:val="00ED5741"/>
    <w:rsid w:val="00ED62E6"/>
    <w:rsid w:val="00ED6DED"/>
    <w:rsid w:val="00ED70CF"/>
    <w:rsid w:val="00EE086F"/>
    <w:rsid w:val="00EE1A99"/>
    <w:rsid w:val="00EE21AF"/>
    <w:rsid w:val="00EE2927"/>
    <w:rsid w:val="00EE4C1B"/>
    <w:rsid w:val="00EE619E"/>
    <w:rsid w:val="00EE62C4"/>
    <w:rsid w:val="00EE6A41"/>
    <w:rsid w:val="00EE6D10"/>
    <w:rsid w:val="00EE6D47"/>
    <w:rsid w:val="00EE6EAF"/>
    <w:rsid w:val="00EE74FF"/>
    <w:rsid w:val="00EE7DA6"/>
    <w:rsid w:val="00EF18FE"/>
    <w:rsid w:val="00EF1963"/>
    <w:rsid w:val="00EF1EC7"/>
    <w:rsid w:val="00EF22D7"/>
    <w:rsid w:val="00EF5787"/>
    <w:rsid w:val="00EF60D0"/>
    <w:rsid w:val="00EF6BAA"/>
    <w:rsid w:val="00EF70AF"/>
    <w:rsid w:val="00F00C9D"/>
    <w:rsid w:val="00F01A26"/>
    <w:rsid w:val="00F01CCA"/>
    <w:rsid w:val="00F01CF9"/>
    <w:rsid w:val="00F01FDA"/>
    <w:rsid w:val="00F02CD9"/>
    <w:rsid w:val="00F038B8"/>
    <w:rsid w:val="00F04F78"/>
    <w:rsid w:val="00F0528D"/>
    <w:rsid w:val="00F05BD0"/>
    <w:rsid w:val="00F061DA"/>
    <w:rsid w:val="00F06C67"/>
    <w:rsid w:val="00F06DFD"/>
    <w:rsid w:val="00F071D1"/>
    <w:rsid w:val="00F07254"/>
    <w:rsid w:val="00F07533"/>
    <w:rsid w:val="00F10629"/>
    <w:rsid w:val="00F11145"/>
    <w:rsid w:val="00F11BEF"/>
    <w:rsid w:val="00F12907"/>
    <w:rsid w:val="00F12BB0"/>
    <w:rsid w:val="00F12BF5"/>
    <w:rsid w:val="00F13435"/>
    <w:rsid w:val="00F1349E"/>
    <w:rsid w:val="00F13EFB"/>
    <w:rsid w:val="00F1492E"/>
    <w:rsid w:val="00F15814"/>
    <w:rsid w:val="00F15FA5"/>
    <w:rsid w:val="00F16583"/>
    <w:rsid w:val="00F168F7"/>
    <w:rsid w:val="00F1782E"/>
    <w:rsid w:val="00F2049C"/>
    <w:rsid w:val="00F209B7"/>
    <w:rsid w:val="00F20A10"/>
    <w:rsid w:val="00F211E7"/>
    <w:rsid w:val="00F2266D"/>
    <w:rsid w:val="00F22C62"/>
    <w:rsid w:val="00F23523"/>
    <w:rsid w:val="00F2376F"/>
    <w:rsid w:val="00F23BB9"/>
    <w:rsid w:val="00F243D8"/>
    <w:rsid w:val="00F24679"/>
    <w:rsid w:val="00F26910"/>
    <w:rsid w:val="00F26C29"/>
    <w:rsid w:val="00F2746E"/>
    <w:rsid w:val="00F278CB"/>
    <w:rsid w:val="00F27C90"/>
    <w:rsid w:val="00F30828"/>
    <w:rsid w:val="00F313D6"/>
    <w:rsid w:val="00F3372C"/>
    <w:rsid w:val="00F3512C"/>
    <w:rsid w:val="00F353BF"/>
    <w:rsid w:val="00F36827"/>
    <w:rsid w:val="00F401A1"/>
    <w:rsid w:val="00F408A3"/>
    <w:rsid w:val="00F40A3B"/>
    <w:rsid w:val="00F40F0C"/>
    <w:rsid w:val="00F415CB"/>
    <w:rsid w:val="00F41952"/>
    <w:rsid w:val="00F419A3"/>
    <w:rsid w:val="00F42CAE"/>
    <w:rsid w:val="00F44762"/>
    <w:rsid w:val="00F44E96"/>
    <w:rsid w:val="00F45650"/>
    <w:rsid w:val="00F458F3"/>
    <w:rsid w:val="00F46873"/>
    <w:rsid w:val="00F4766C"/>
    <w:rsid w:val="00F47D43"/>
    <w:rsid w:val="00F5060E"/>
    <w:rsid w:val="00F507D1"/>
    <w:rsid w:val="00F51289"/>
    <w:rsid w:val="00F519CE"/>
    <w:rsid w:val="00F51ADA"/>
    <w:rsid w:val="00F52225"/>
    <w:rsid w:val="00F54609"/>
    <w:rsid w:val="00F55802"/>
    <w:rsid w:val="00F5745D"/>
    <w:rsid w:val="00F60203"/>
    <w:rsid w:val="00F607C5"/>
    <w:rsid w:val="00F60DEA"/>
    <w:rsid w:val="00F60FEB"/>
    <w:rsid w:val="00F6160D"/>
    <w:rsid w:val="00F6283C"/>
    <w:rsid w:val="00F6302A"/>
    <w:rsid w:val="00F63950"/>
    <w:rsid w:val="00F64406"/>
    <w:rsid w:val="00F6445B"/>
    <w:rsid w:val="00F64C2B"/>
    <w:rsid w:val="00F651BE"/>
    <w:rsid w:val="00F65D49"/>
    <w:rsid w:val="00F66021"/>
    <w:rsid w:val="00F664AA"/>
    <w:rsid w:val="00F67788"/>
    <w:rsid w:val="00F67D79"/>
    <w:rsid w:val="00F67F53"/>
    <w:rsid w:val="00F703BE"/>
    <w:rsid w:val="00F70461"/>
    <w:rsid w:val="00F70945"/>
    <w:rsid w:val="00F70BA9"/>
    <w:rsid w:val="00F7124F"/>
    <w:rsid w:val="00F7150D"/>
    <w:rsid w:val="00F71F69"/>
    <w:rsid w:val="00F726F3"/>
    <w:rsid w:val="00F72B72"/>
    <w:rsid w:val="00F72E94"/>
    <w:rsid w:val="00F730AF"/>
    <w:rsid w:val="00F74056"/>
    <w:rsid w:val="00F746AF"/>
    <w:rsid w:val="00F74BB9"/>
    <w:rsid w:val="00F75582"/>
    <w:rsid w:val="00F75A8A"/>
    <w:rsid w:val="00F76EFA"/>
    <w:rsid w:val="00F773C5"/>
    <w:rsid w:val="00F77FAD"/>
    <w:rsid w:val="00F804BE"/>
    <w:rsid w:val="00F81320"/>
    <w:rsid w:val="00F817CE"/>
    <w:rsid w:val="00F81CE9"/>
    <w:rsid w:val="00F8298B"/>
    <w:rsid w:val="00F83B38"/>
    <w:rsid w:val="00F8401B"/>
    <w:rsid w:val="00F8456C"/>
    <w:rsid w:val="00F853C3"/>
    <w:rsid w:val="00F859D8"/>
    <w:rsid w:val="00F85BD2"/>
    <w:rsid w:val="00F862B3"/>
    <w:rsid w:val="00F865D6"/>
    <w:rsid w:val="00F868F5"/>
    <w:rsid w:val="00F87149"/>
    <w:rsid w:val="00F90265"/>
    <w:rsid w:val="00F9056A"/>
    <w:rsid w:val="00F90F8D"/>
    <w:rsid w:val="00F91216"/>
    <w:rsid w:val="00F91944"/>
    <w:rsid w:val="00F92782"/>
    <w:rsid w:val="00F93AA9"/>
    <w:rsid w:val="00F9466F"/>
    <w:rsid w:val="00F94B30"/>
    <w:rsid w:val="00F9556D"/>
    <w:rsid w:val="00F95613"/>
    <w:rsid w:val="00F96985"/>
    <w:rsid w:val="00F973A5"/>
    <w:rsid w:val="00F97838"/>
    <w:rsid w:val="00F97C05"/>
    <w:rsid w:val="00FA0835"/>
    <w:rsid w:val="00FA113B"/>
    <w:rsid w:val="00FA12E8"/>
    <w:rsid w:val="00FA1765"/>
    <w:rsid w:val="00FA2BB3"/>
    <w:rsid w:val="00FA2DF1"/>
    <w:rsid w:val="00FA3C65"/>
    <w:rsid w:val="00FA4B23"/>
    <w:rsid w:val="00FA5439"/>
    <w:rsid w:val="00FA6095"/>
    <w:rsid w:val="00FA65DA"/>
    <w:rsid w:val="00FA7055"/>
    <w:rsid w:val="00FA7156"/>
    <w:rsid w:val="00FA7F88"/>
    <w:rsid w:val="00FB02A8"/>
    <w:rsid w:val="00FB10EB"/>
    <w:rsid w:val="00FB24DB"/>
    <w:rsid w:val="00FB2E9B"/>
    <w:rsid w:val="00FB47CF"/>
    <w:rsid w:val="00FB4C80"/>
    <w:rsid w:val="00FB5401"/>
    <w:rsid w:val="00FB6A6A"/>
    <w:rsid w:val="00FB70DF"/>
    <w:rsid w:val="00FB74D8"/>
    <w:rsid w:val="00FB76CD"/>
    <w:rsid w:val="00FC170F"/>
    <w:rsid w:val="00FC1B01"/>
    <w:rsid w:val="00FC2253"/>
    <w:rsid w:val="00FC2AA9"/>
    <w:rsid w:val="00FC332D"/>
    <w:rsid w:val="00FC43C9"/>
    <w:rsid w:val="00FC4707"/>
    <w:rsid w:val="00FC4DBC"/>
    <w:rsid w:val="00FC5310"/>
    <w:rsid w:val="00FC5510"/>
    <w:rsid w:val="00FC56C4"/>
    <w:rsid w:val="00FC5E11"/>
    <w:rsid w:val="00FC6053"/>
    <w:rsid w:val="00FC7429"/>
    <w:rsid w:val="00FD0321"/>
    <w:rsid w:val="00FD07F6"/>
    <w:rsid w:val="00FD0924"/>
    <w:rsid w:val="00FD0F48"/>
    <w:rsid w:val="00FD15C0"/>
    <w:rsid w:val="00FD1921"/>
    <w:rsid w:val="00FD1EC8"/>
    <w:rsid w:val="00FD30BE"/>
    <w:rsid w:val="00FD33A3"/>
    <w:rsid w:val="00FD3AB7"/>
    <w:rsid w:val="00FD4428"/>
    <w:rsid w:val="00FD457B"/>
    <w:rsid w:val="00FD47ED"/>
    <w:rsid w:val="00FD4F0C"/>
    <w:rsid w:val="00FD57F4"/>
    <w:rsid w:val="00FD6400"/>
    <w:rsid w:val="00FD64E1"/>
    <w:rsid w:val="00FD6AAB"/>
    <w:rsid w:val="00FD704B"/>
    <w:rsid w:val="00FD74DB"/>
    <w:rsid w:val="00FD7660"/>
    <w:rsid w:val="00FE0655"/>
    <w:rsid w:val="00FE1AE8"/>
    <w:rsid w:val="00FE2365"/>
    <w:rsid w:val="00FE2E68"/>
    <w:rsid w:val="00FE31F2"/>
    <w:rsid w:val="00FE37D7"/>
    <w:rsid w:val="00FE3C95"/>
    <w:rsid w:val="00FE4112"/>
    <w:rsid w:val="00FE4C7B"/>
    <w:rsid w:val="00FE7185"/>
    <w:rsid w:val="00FE7336"/>
    <w:rsid w:val="00FE787C"/>
    <w:rsid w:val="00FF0CA6"/>
    <w:rsid w:val="00FF2611"/>
    <w:rsid w:val="00FF2A61"/>
    <w:rsid w:val="00FF3562"/>
    <w:rsid w:val="00FF40FF"/>
    <w:rsid w:val="00FF45A5"/>
    <w:rsid w:val="00FF5198"/>
    <w:rsid w:val="00FF5C91"/>
    <w:rsid w:val="18AE96D7"/>
    <w:rsid w:val="529E71FF"/>
  </w:rsids>
  <m:mathPr>
    <m:mathFont m:val="Cambria Math"/>
    <m:brkBin m:val="before"/>
    <m:brkBinSub m:val="--"/>
    <m:smallFrac m:val="0"/>
    <m:dispDef/>
    <m:lMargin m:val="0"/>
    <m:rMargin m:val="0"/>
    <m:defJc m:val="centerGroup"/>
    <m:wrapIndent m:val="1440"/>
    <m:intLim m:val="subSup"/>
    <m:naryLim m:val="undOvr"/>
  </m:mathPr>
  <w:themeFontLang w:val="en-GB" w:eastAsia="zh-CN"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4F02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75244"/>
    <w:pPr>
      <w:spacing w:after="160" w:line="259" w:lineRule="auto"/>
    </w:pPr>
    <w:rPr>
      <w:rFonts w:asciiTheme="minorHAnsi" w:eastAsiaTheme="minorHAnsi" w:hAnsiTheme="minorHAnsi" w:cstheme="minorBidi"/>
      <w:sz w:val="22"/>
      <w:szCs w:val="22"/>
      <w:lang w:val="en-150" w:eastAsia="en-US"/>
    </w:rPr>
  </w:style>
  <w:style w:type="paragraph" w:styleId="Heading1">
    <w:name w:val="heading 1"/>
    <w:next w:val="Normal"/>
    <w:link w:val="Heading1Char"/>
    <w:uiPriority w:val="9"/>
    <w:qFormat/>
    <w:rsid w:val="00FA0835"/>
    <w:pPr>
      <w:keepNext/>
      <w:keepLines/>
      <w:numPr>
        <w:numId w:val="16"/>
      </w:numPr>
      <w:spacing w:before="480"/>
      <w:outlineLvl w:val="0"/>
    </w:pPr>
    <w:rPr>
      <w:rFonts w:ascii="Corbel" w:eastAsiaTheme="majorEastAsia" w:hAnsi="Corbel" w:cstheme="majorBidi"/>
      <w:b/>
      <w:bCs/>
      <w:color w:val="2F5496" w:themeColor="accent1" w:themeShade="BF"/>
      <w:sz w:val="28"/>
      <w:szCs w:val="28"/>
      <w:lang w:val="en-US" w:eastAsia="en-US"/>
    </w:rPr>
  </w:style>
  <w:style w:type="paragraph" w:styleId="Heading2">
    <w:name w:val="heading 2"/>
    <w:basedOn w:val="Heading1"/>
    <w:next w:val="Normal"/>
    <w:link w:val="Heading2Char"/>
    <w:uiPriority w:val="9"/>
    <w:unhideWhenUsed/>
    <w:qFormat/>
    <w:rsid w:val="00FA0835"/>
    <w:pPr>
      <w:numPr>
        <w:ilvl w:val="1"/>
      </w:numPr>
      <w:spacing w:before="240"/>
      <w:outlineLvl w:val="1"/>
    </w:pPr>
    <w:rPr>
      <w:b w:val="0"/>
      <w:bCs w:val="0"/>
      <w:color w:val="4472C4" w:themeColor="accent1"/>
      <w:sz w:val="26"/>
      <w:szCs w:val="26"/>
    </w:rPr>
  </w:style>
  <w:style w:type="paragraph" w:styleId="Heading3">
    <w:name w:val="heading 3"/>
    <w:basedOn w:val="Heading2"/>
    <w:next w:val="Normal"/>
    <w:link w:val="Heading3Char"/>
    <w:uiPriority w:val="9"/>
    <w:unhideWhenUsed/>
    <w:qFormat/>
    <w:rsid w:val="00FA0835"/>
    <w:pPr>
      <w:numPr>
        <w:ilvl w:val="2"/>
      </w:numPr>
      <w:ind w:left="1782"/>
      <w:outlineLvl w:val="2"/>
    </w:pPr>
    <w:rPr>
      <w:b/>
      <w:bCs/>
    </w:rPr>
  </w:style>
  <w:style w:type="paragraph" w:styleId="Heading4">
    <w:name w:val="heading 4"/>
    <w:basedOn w:val="Heading3"/>
    <w:next w:val="Normal"/>
    <w:link w:val="Heading4Char"/>
    <w:uiPriority w:val="9"/>
    <w:unhideWhenUsed/>
    <w:qFormat/>
    <w:rsid w:val="00FA0835"/>
    <w:pPr>
      <w:numPr>
        <w:ilvl w:val="3"/>
      </w:numPr>
      <w:outlineLvl w:val="3"/>
    </w:pPr>
    <w:rPr>
      <w:b w:val="0"/>
      <w:bCs w:val="0"/>
      <w:iCs/>
    </w:rPr>
  </w:style>
  <w:style w:type="paragraph" w:styleId="Heading5">
    <w:name w:val="heading 5"/>
    <w:basedOn w:val="Heading4"/>
    <w:next w:val="Normal"/>
    <w:link w:val="Heading5Char"/>
    <w:uiPriority w:val="9"/>
    <w:unhideWhenUsed/>
    <w:qFormat/>
    <w:rsid w:val="00FA0835"/>
    <w:pPr>
      <w:numPr>
        <w:ilvl w:val="4"/>
      </w:numPr>
      <w:outlineLvl w:val="4"/>
    </w:pPr>
    <w:rPr>
      <w:i/>
      <w:color w:val="1F3763" w:themeColor="accent1" w:themeShade="7F"/>
    </w:rPr>
  </w:style>
  <w:style w:type="paragraph" w:styleId="Heading6">
    <w:name w:val="heading 6"/>
    <w:basedOn w:val="Normal"/>
    <w:next w:val="Normal"/>
    <w:link w:val="Heading6Char"/>
    <w:uiPriority w:val="9"/>
    <w:unhideWhenUsed/>
    <w:qFormat/>
    <w:rsid w:val="00FA0835"/>
    <w:pPr>
      <w:keepNext/>
      <w:keepLines/>
      <w:numPr>
        <w:ilvl w:val="5"/>
        <w:numId w:val="16"/>
      </w:numPr>
      <w:spacing w:before="20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unhideWhenUsed/>
    <w:qFormat/>
    <w:rsid w:val="00FA0835"/>
    <w:pPr>
      <w:keepNext/>
      <w:keepLines/>
      <w:numPr>
        <w:ilvl w:val="6"/>
        <w:numId w:val="16"/>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FA0835"/>
    <w:pPr>
      <w:keepNext/>
      <w:keepLines/>
      <w:numPr>
        <w:ilvl w:val="7"/>
        <w:numId w:val="16"/>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FA0835"/>
    <w:pPr>
      <w:keepNext/>
      <w:keepLines/>
      <w:numPr>
        <w:ilvl w:val="8"/>
        <w:numId w:val="16"/>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77524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75244"/>
  </w:style>
  <w:style w:type="paragraph" w:styleId="TOC8">
    <w:name w:val="toc 8"/>
    <w:basedOn w:val="TOC1"/>
    <w:uiPriority w:val="39"/>
    <w:rsid w:val="001543FE"/>
    <w:pPr>
      <w:spacing w:before="180"/>
      <w:ind w:left="2693" w:hanging="2693"/>
    </w:pPr>
    <w:rPr>
      <w:b/>
    </w:rPr>
  </w:style>
  <w:style w:type="paragraph" w:styleId="TOC1">
    <w:name w:val="toc 1"/>
    <w:uiPriority w:val="39"/>
    <w:rsid w:val="001543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1543FE"/>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1543FE"/>
    <w:pPr>
      <w:spacing w:after="120"/>
    </w:pPr>
    <w:rPr>
      <w:b/>
      <w:lang w:eastAsia="en-GB"/>
    </w:rPr>
  </w:style>
  <w:style w:type="paragraph" w:styleId="TOC5">
    <w:name w:val="toc 5"/>
    <w:basedOn w:val="TOC4"/>
    <w:uiPriority w:val="39"/>
    <w:rsid w:val="001543FE"/>
    <w:pPr>
      <w:ind w:left="1701" w:hanging="1701"/>
    </w:pPr>
  </w:style>
  <w:style w:type="paragraph" w:styleId="TOC4">
    <w:name w:val="toc 4"/>
    <w:basedOn w:val="TOC3"/>
    <w:uiPriority w:val="39"/>
    <w:rsid w:val="001543FE"/>
    <w:pPr>
      <w:ind w:left="1418" w:hanging="1418"/>
    </w:pPr>
  </w:style>
  <w:style w:type="paragraph" w:styleId="TOC3">
    <w:name w:val="toc 3"/>
    <w:basedOn w:val="TOC2"/>
    <w:uiPriority w:val="39"/>
    <w:rsid w:val="001543FE"/>
    <w:pPr>
      <w:ind w:left="1134" w:hanging="1134"/>
    </w:pPr>
  </w:style>
  <w:style w:type="paragraph" w:styleId="TOC2">
    <w:name w:val="toc 2"/>
    <w:basedOn w:val="TOC1"/>
    <w:uiPriority w:val="39"/>
    <w:rsid w:val="001543FE"/>
    <w:pPr>
      <w:keepNext w:val="0"/>
      <w:spacing w:before="0"/>
      <w:ind w:left="851" w:hanging="851"/>
    </w:pPr>
    <w:rPr>
      <w:sz w:val="20"/>
    </w:rPr>
  </w:style>
  <w:style w:type="paragraph" w:styleId="Index2">
    <w:name w:val="index 2"/>
    <w:basedOn w:val="Index1"/>
    <w:rsid w:val="001543FE"/>
    <w:pPr>
      <w:ind w:left="284"/>
    </w:pPr>
  </w:style>
  <w:style w:type="paragraph" w:styleId="Index1">
    <w:name w:val="index 1"/>
    <w:basedOn w:val="Normal"/>
    <w:rsid w:val="001543FE"/>
    <w:pPr>
      <w:keepLines/>
    </w:pPr>
  </w:style>
  <w:style w:type="paragraph" w:styleId="DocumentMap">
    <w:name w:val="Document Map"/>
    <w:basedOn w:val="Normal"/>
    <w:link w:val="DocumentMapChar"/>
    <w:rsid w:val="001543FE"/>
    <w:pPr>
      <w:shd w:val="clear" w:color="auto" w:fill="000080"/>
    </w:pPr>
    <w:rPr>
      <w:rFonts w:ascii="Tahoma" w:hAnsi="Tahoma" w:cs="Tahoma"/>
    </w:rPr>
  </w:style>
  <w:style w:type="paragraph" w:styleId="ListNumber2">
    <w:name w:val="List Number 2"/>
    <w:basedOn w:val="ListNumber"/>
    <w:rsid w:val="001543FE"/>
    <w:pPr>
      <w:numPr>
        <w:numId w:val="12"/>
      </w:numPr>
    </w:pPr>
  </w:style>
  <w:style w:type="paragraph" w:styleId="ListNumber">
    <w:name w:val="List Number"/>
    <w:basedOn w:val="List"/>
    <w:rsid w:val="001543FE"/>
    <w:pPr>
      <w:numPr>
        <w:numId w:val="11"/>
      </w:numPr>
    </w:pPr>
    <w:rPr>
      <w:lang w:eastAsia="ja-JP"/>
    </w:rPr>
  </w:style>
  <w:style w:type="paragraph" w:styleId="List">
    <w:name w:val="List"/>
    <w:basedOn w:val="BodyText"/>
    <w:rsid w:val="001543FE"/>
    <w:pPr>
      <w:ind w:left="568" w:hanging="284"/>
    </w:pPr>
  </w:style>
  <w:style w:type="paragraph" w:styleId="Header">
    <w:name w:val="header"/>
    <w:link w:val="HeaderChar"/>
    <w:rsid w:val="001543F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1543FE"/>
    <w:rPr>
      <w:b/>
      <w:position w:val="6"/>
      <w:sz w:val="16"/>
    </w:rPr>
  </w:style>
  <w:style w:type="paragraph" w:styleId="FootnoteText">
    <w:name w:val="footnote text"/>
    <w:basedOn w:val="Normal"/>
    <w:link w:val="FootnoteTextChar"/>
    <w:rsid w:val="001543FE"/>
    <w:pPr>
      <w:keepLines/>
      <w:ind w:left="454" w:hanging="454"/>
    </w:pPr>
    <w:rPr>
      <w:sz w:val="16"/>
    </w:rPr>
  </w:style>
  <w:style w:type="paragraph" w:customStyle="1" w:styleId="3GPPHeader">
    <w:name w:val="3GPP_Header"/>
    <w:basedOn w:val="BodyText"/>
    <w:rsid w:val="001543FE"/>
    <w:pPr>
      <w:tabs>
        <w:tab w:val="left" w:pos="1701"/>
        <w:tab w:val="right" w:pos="9639"/>
      </w:tabs>
      <w:spacing w:after="240"/>
    </w:pPr>
    <w:rPr>
      <w:b/>
      <w:sz w:val="24"/>
    </w:rPr>
  </w:style>
  <w:style w:type="paragraph" w:styleId="TOC9">
    <w:name w:val="toc 9"/>
    <w:basedOn w:val="TOC8"/>
    <w:uiPriority w:val="39"/>
    <w:rsid w:val="001543FE"/>
    <w:pPr>
      <w:ind w:left="1418" w:hanging="1418"/>
    </w:pPr>
  </w:style>
  <w:style w:type="paragraph" w:styleId="TOC6">
    <w:name w:val="toc 6"/>
    <w:basedOn w:val="TOC5"/>
    <w:next w:val="Normal"/>
    <w:uiPriority w:val="39"/>
    <w:rsid w:val="001543FE"/>
    <w:pPr>
      <w:ind w:left="1985" w:hanging="1985"/>
    </w:pPr>
  </w:style>
  <w:style w:type="paragraph" w:styleId="TOC7">
    <w:name w:val="toc 7"/>
    <w:basedOn w:val="TOC6"/>
    <w:next w:val="Normal"/>
    <w:uiPriority w:val="39"/>
    <w:rsid w:val="001543FE"/>
    <w:pPr>
      <w:ind w:left="2268" w:hanging="2268"/>
    </w:pPr>
  </w:style>
  <w:style w:type="paragraph" w:styleId="ListBullet2">
    <w:name w:val="List Bullet 2"/>
    <w:basedOn w:val="ListBullet"/>
    <w:rsid w:val="001543FE"/>
    <w:pPr>
      <w:numPr>
        <w:numId w:val="7"/>
      </w:numPr>
    </w:pPr>
  </w:style>
  <w:style w:type="paragraph" w:styleId="ListBullet">
    <w:name w:val="List Bullet"/>
    <w:basedOn w:val="List"/>
    <w:rsid w:val="001543FE"/>
    <w:pPr>
      <w:numPr>
        <w:numId w:val="6"/>
      </w:numPr>
    </w:pPr>
    <w:rPr>
      <w:lang w:eastAsia="ja-JP"/>
    </w:rPr>
  </w:style>
  <w:style w:type="paragraph" w:styleId="ListBullet3">
    <w:name w:val="List Bullet 3"/>
    <w:basedOn w:val="ListBullet2"/>
    <w:rsid w:val="001543FE"/>
    <w:pPr>
      <w:numPr>
        <w:numId w:val="8"/>
      </w:numPr>
    </w:pPr>
  </w:style>
  <w:style w:type="paragraph" w:customStyle="1" w:styleId="EQ">
    <w:name w:val="EQ"/>
    <w:basedOn w:val="Normal"/>
    <w:next w:val="Normal"/>
    <w:rsid w:val="001543FE"/>
    <w:pPr>
      <w:keepLines/>
      <w:tabs>
        <w:tab w:val="center" w:pos="4536"/>
        <w:tab w:val="right" w:pos="9072"/>
      </w:tabs>
    </w:pPr>
    <w:rPr>
      <w:noProof/>
    </w:rPr>
  </w:style>
  <w:style w:type="paragraph" w:styleId="List2">
    <w:name w:val="List 2"/>
    <w:basedOn w:val="List"/>
    <w:rsid w:val="001543FE"/>
    <w:pPr>
      <w:ind w:left="851"/>
    </w:pPr>
    <w:rPr>
      <w:lang w:eastAsia="ja-JP"/>
    </w:rPr>
  </w:style>
  <w:style w:type="paragraph" w:styleId="List3">
    <w:name w:val="List 3"/>
    <w:basedOn w:val="List2"/>
    <w:rsid w:val="001543FE"/>
    <w:pPr>
      <w:ind w:left="1135"/>
    </w:pPr>
  </w:style>
  <w:style w:type="paragraph" w:styleId="List4">
    <w:name w:val="List 4"/>
    <w:basedOn w:val="List3"/>
    <w:rsid w:val="001543FE"/>
    <w:pPr>
      <w:ind w:left="1418"/>
    </w:pPr>
  </w:style>
  <w:style w:type="paragraph" w:styleId="List5">
    <w:name w:val="List 5"/>
    <w:basedOn w:val="List4"/>
    <w:rsid w:val="001543FE"/>
    <w:pPr>
      <w:ind w:left="1702"/>
    </w:pPr>
  </w:style>
  <w:style w:type="paragraph" w:customStyle="1" w:styleId="EditorsNote">
    <w:name w:val="Editor's Note"/>
    <w:basedOn w:val="NO"/>
    <w:link w:val="EditorsNoteChar"/>
    <w:rsid w:val="001543FE"/>
    <w:rPr>
      <w:color w:val="FF0000"/>
      <w:lang w:val="x-none" w:eastAsia="x-none"/>
    </w:rPr>
  </w:style>
  <w:style w:type="paragraph" w:styleId="ListBullet4">
    <w:name w:val="List Bullet 4"/>
    <w:basedOn w:val="ListBullet3"/>
    <w:rsid w:val="001543FE"/>
    <w:pPr>
      <w:numPr>
        <w:numId w:val="9"/>
      </w:numPr>
    </w:pPr>
  </w:style>
  <w:style w:type="paragraph" w:styleId="ListBullet5">
    <w:name w:val="List Bullet 5"/>
    <w:basedOn w:val="ListBullet4"/>
    <w:rsid w:val="001543FE"/>
    <w:pPr>
      <w:numPr>
        <w:numId w:val="10"/>
      </w:numPr>
    </w:pPr>
  </w:style>
  <w:style w:type="paragraph" w:styleId="Footer">
    <w:name w:val="footer"/>
    <w:basedOn w:val="Header"/>
    <w:link w:val="FooterChar"/>
    <w:rsid w:val="001543FE"/>
    <w:pPr>
      <w:jc w:val="center"/>
    </w:pPr>
    <w:rPr>
      <w:i/>
    </w:rPr>
  </w:style>
  <w:style w:type="paragraph" w:customStyle="1" w:styleId="Reference">
    <w:name w:val="Reference"/>
    <w:basedOn w:val="BodyText"/>
    <w:link w:val="ReferenceChar"/>
    <w:qFormat/>
    <w:rsid w:val="001543FE"/>
    <w:pPr>
      <w:numPr>
        <w:numId w:val="1"/>
      </w:numPr>
    </w:pPr>
  </w:style>
  <w:style w:type="paragraph" w:styleId="BalloonText">
    <w:name w:val="Balloon Text"/>
    <w:basedOn w:val="Normal"/>
    <w:link w:val="BalloonTextChar"/>
    <w:rsid w:val="001543FE"/>
    <w:rPr>
      <w:rFonts w:ascii="Segoe UI" w:hAnsi="Segoe UI" w:cs="Segoe UI"/>
      <w:sz w:val="18"/>
      <w:szCs w:val="18"/>
    </w:rPr>
  </w:style>
  <w:style w:type="character" w:styleId="PageNumber">
    <w:name w:val="page number"/>
    <w:basedOn w:val="DefaultParagraphFont"/>
    <w:rsid w:val="001543FE"/>
  </w:style>
  <w:style w:type="paragraph" w:styleId="BodyText">
    <w:name w:val="Body Text"/>
    <w:basedOn w:val="Normal"/>
    <w:link w:val="BodyTextChar"/>
    <w:rsid w:val="001543FE"/>
    <w:pPr>
      <w:spacing w:after="120"/>
    </w:pPr>
    <w:rPr>
      <w:rFonts w:ascii="Arial" w:hAnsi="Arial"/>
    </w:rPr>
  </w:style>
  <w:style w:type="character" w:styleId="Hyperlink">
    <w:name w:val="Hyperlink"/>
    <w:uiPriority w:val="99"/>
    <w:rsid w:val="001543FE"/>
    <w:rPr>
      <w:color w:val="0000FF"/>
      <w:u w:val="single"/>
    </w:rPr>
  </w:style>
  <w:style w:type="character" w:styleId="FollowedHyperlink">
    <w:name w:val="FollowedHyperlink"/>
    <w:unhideWhenUsed/>
    <w:rsid w:val="001543FE"/>
    <w:rPr>
      <w:color w:val="800080"/>
      <w:u w:val="single"/>
    </w:rPr>
  </w:style>
  <w:style w:type="character" w:styleId="CommentReference">
    <w:name w:val="annotation reference"/>
    <w:uiPriority w:val="99"/>
    <w:qFormat/>
    <w:rsid w:val="001543FE"/>
    <w:rPr>
      <w:sz w:val="16"/>
      <w:szCs w:val="16"/>
    </w:rPr>
  </w:style>
  <w:style w:type="paragraph" w:styleId="CommentText">
    <w:name w:val="annotation text"/>
    <w:basedOn w:val="Normal"/>
    <w:link w:val="CommentTextChar"/>
    <w:qFormat/>
    <w:rsid w:val="001543FE"/>
  </w:style>
  <w:style w:type="paragraph" w:styleId="CommentSubject">
    <w:name w:val="annotation subject"/>
    <w:basedOn w:val="CommentText"/>
    <w:next w:val="CommentText"/>
    <w:link w:val="CommentSubjectChar"/>
    <w:rsid w:val="001543FE"/>
    <w:rPr>
      <w:b/>
      <w:bCs/>
    </w:rPr>
  </w:style>
  <w:style w:type="character" w:customStyle="1" w:styleId="Heading1Char">
    <w:name w:val="Heading 1 Char"/>
    <w:basedOn w:val="DefaultParagraphFont"/>
    <w:link w:val="Heading1"/>
    <w:uiPriority w:val="9"/>
    <w:rsid w:val="00FA0835"/>
    <w:rPr>
      <w:rFonts w:ascii="Corbel" w:eastAsiaTheme="majorEastAsia" w:hAnsi="Corbel" w:cstheme="majorBidi"/>
      <w:b/>
      <w:bCs/>
      <w:color w:val="2F5496" w:themeColor="accent1" w:themeShade="BF"/>
      <w:sz w:val="28"/>
      <w:szCs w:val="28"/>
      <w:lang w:val="en-US" w:eastAsia="en-US"/>
    </w:rPr>
  </w:style>
  <w:style w:type="paragraph" w:customStyle="1" w:styleId="B1">
    <w:name w:val="B1"/>
    <w:basedOn w:val="List"/>
    <w:link w:val="B1Char1"/>
    <w:qFormat/>
    <w:rsid w:val="001543FE"/>
    <w:rPr>
      <w:rFonts w:ascii="Times New Roman" w:hAnsi="Times New Roman"/>
    </w:rPr>
  </w:style>
  <w:style w:type="paragraph" w:customStyle="1" w:styleId="B2">
    <w:name w:val="B2"/>
    <w:basedOn w:val="List2"/>
    <w:link w:val="B2Char"/>
    <w:rsid w:val="001543FE"/>
    <w:rPr>
      <w:rFonts w:ascii="Times New Roman" w:hAnsi="Times New Roman"/>
    </w:rPr>
  </w:style>
  <w:style w:type="paragraph" w:customStyle="1" w:styleId="B3">
    <w:name w:val="B3"/>
    <w:basedOn w:val="List3"/>
    <w:link w:val="B3Char2"/>
    <w:rsid w:val="001543FE"/>
    <w:rPr>
      <w:rFonts w:ascii="Times New Roman" w:hAnsi="Times New Roman"/>
    </w:rPr>
  </w:style>
  <w:style w:type="paragraph" w:customStyle="1" w:styleId="B4">
    <w:name w:val="B4"/>
    <w:basedOn w:val="List4"/>
    <w:link w:val="B4Char"/>
    <w:rsid w:val="001543FE"/>
    <w:rPr>
      <w:rFonts w:ascii="Times New Roman" w:hAnsi="Times New Roman"/>
    </w:rPr>
  </w:style>
  <w:style w:type="paragraph" w:customStyle="1" w:styleId="Proposal">
    <w:name w:val="Proposal"/>
    <w:basedOn w:val="BodyText"/>
    <w:qFormat/>
    <w:rsid w:val="001543FE"/>
    <w:pPr>
      <w:numPr>
        <w:numId w:val="2"/>
      </w:numPr>
      <w:tabs>
        <w:tab w:val="left" w:pos="1701"/>
      </w:tabs>
    </w:pPr>
    <w:rPr>
      <w:b/>
      <w:bCs/>
    </w:rPr>
  </w:style>
  <w:style w:type="character" w:customStyle="1" w:styleId="BodyTextChar">
    <w:name w:val="Body Text Char"/>
    <w:link w:val="BodyText"/>
    <w:rsid w:val="001543FE"/>
    <w:rPr>
      <w:rFonts w:ascii="Arial" w:hAnsi="Arial"/>
      <w:lang w:eastAsia="zh-CN"/>
    </w:rPr>
  </w:style>
  <w:style w:type="paragraph" w:customStyle="1" w:styleId="B5">
    <w:name w:val="B5"/>
    <w:basedOn w:val="List5"/>
    <w:link w:val="B5Char"/>
    <w:rsid w:val="001543FE"/>
    <w:rPr>
      <w:rFonts w:ascii="Times New Roman" w:hAnsi="Times New Roman"/>
    </w:rPr>
  </w:style>
  <w:style w:type="paragraph" w:customStyle="1" w:styleId="EX">
    <w:name w:val="EX"/>
    <w:basedOn w:val="Normal"/>
    <w:rsid w:val="001543FE"/>
    <w:pPr>
      <w:keepLines/>
      <w:ind w:left="1702" w:hanging="1418"/>
    </w:pPr>
  </w:style>
  <w:style w:type="paragraph" w:customStyle="1" w:styleId="EW">
    <w:name w:val="EW"/>
    <w:basedOn w:val="EX"/>
    <w:rsid w:val="001543FE"/>
  </w:style>
  <w:style w:type="paragraph" w:customStyle="1" w:styleId="TAL">
    <w:name w:val="TAL"/>
    <w:basedOn w:val="Normal"/>
    <w:link w:val="TALCar"/>
    <w:qFormat/>
    <w:rsid w:val="001543FE"/>
    <w:pPr>
      <w:keepNext/>
      <w:keepLines/>
    </w:pPr>
    <w:rPr>
      <w:rFonts w:ascii="Arial" w:hAnsi="Arial"/>
      <w:sz w:val="18"/>
      <w:lang w:val="x-none" w:eastAsia="x-none"/>
    </w:rPr>
  </w:style>
  <w:style w:type="paragraph" w:customStyle="1" w:styleId="TAC">
    <w:name w:val="TAC"/>
    <w:basedOn w:val="TAL"/>
    <w:rsid w:val="001543FE"/>
    <w:pPr>
      <w:jc w:val="center"/>
    </w:pPr>
  </w:style>
  <w:style w:type="paragraph" w:customStyle="1" w:styleId="TAH">
    <w:name w:val="TAH"/>
    <w:basedOn w:val="TAC"/>
    <w:link w:val="TAHCar"/>
    <w:qFormat/>
    <w:rsid w:val="001543FE"/>
    <w:rPr>
      <w:b/>
    </w:rPr>
  </w:style>
  <w:style w:type="paragraph" w:customStyle="1" w:styleId="TAN">
    <w:name w:val="TAN"/>
    <w:basedOn w:val="TAL"/>
    <w:rsid w:val="001543FE"/>
    <w:pPr>
      <w:ind w:left="851" w:hanging="851"/>
    </w:pPr>
  </w:style>
  <w:style w:type="paragraph" w:customStyle="1" w:styleId="TAR">
    <w:name w:val="TAR"/>
    <w:basedOn w:val="TAL"/>
    <w:rsid w:val="001543FE"/>
    <w:pPr>
      <w:jc w:val="right"/>
    </w:pPr>
  </w:style>
  <w:style w:type="paragraph" w:customStyle="1" w:styleId="TH">
    <w:name w:val="TH"/>
    <w:basedOn w:val="Normal"/>
    <w:link w:val="THChar"/>
    <w:qFormat/>
    <w:rsid w:val="001543FE"/>
    <w:pPr>
      <w:keepNext/>
      <w:keepLines/>
      <w:spacing w:before="60"/>
      <w:jc w:val="center"/>
    </w:pPr>
    <w:rPr>
      <w:rFonts w:ascii="Arial" w:hAnsi="Arial"/>
      <w:b/>
      <w:lang w:val="x-none" w:eastAsia="x-none"/>
    </w:rPr>
  </w:style>
  <w:style w:type="paragraph" w:customStyle="1" w:styleId="TF">
    <w:name w:val="TF"/>
    <w:basedOn w:val="TH"/>
    <w:link w:val="TFChar"/>
    <w:rsid w:val="001543FE"/>
    <w:pPr>
      <w:keepNext w:val="0"/>
      <w:spacing w:before="0" w:after="240"/>
    </w:pPr>
  </w:style>
  <w:style w:type="paragraph" w:customStyle="1" w:styleId="TT">
    <w:name w:val="TT"/>
    <w:basedOn w:val="Heading1"/>
    <w:next w:val="Normal"/>
    <w:rsid w:val="001543FE"/>
    <w:pPr>
      <w:outlineLvl w:val="9"/>
    </w:pPr>
  </w:style>
  <w:style w:type="paragraph" w:customStyle="1" w:styleId="ZA">
    <w:name w:val="ZA"/>
    <w:rsid w:val="00154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54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543F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154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1543FE"/>
  </w:style>
  <w:style w:type="paragraph" w:customStyle="1" w:styleId="ZH">
    <w:name w:val="ZH"/>
    <w:rsid w:val="001543F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154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543FE"/>
    <w:pPr>
      <w:framePr w:hRule="auto" w:wrap="notBeside" w:y="852"/>
    </w:pPr>
    <w:rPr>
      <w:i w:val="0"/>
      <w:sz w:val="40"/>
    </w:rPr>
  </w:style>
  <w:style w:type="paragraph" w:customStyle="1" w:styleId="ZU">
    <w:name w:val="ZU"/>
    <w:rsid w:val="00154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543FE"/>
    <w:pPr>
      <w:framePr w:wrap="notBeside" w:y="16161"/>
    </w:pPr>
  </w:style>
  <w:style w:type="paragraph" w:customStyle="1" w:styleId="FP">
    <w:name w:val="FP"/>
    <w:basedOn w:val="Normal"/>
    <w:rsid w:val="001543FE"/>
  </w:style>
  <w:style w:type="paragraph" w:customStyle="1" w:styleId="Observation">
    <w:name w:val="Observation"/>
    <w:basedOn w:val="Proposal"/>
    <w:qFormat/>
    <w:rsid w:val="001543FE"/>
    <w:pPr>
      <w:numPr>
        <w:numId w:val="4"/>
      </w:numPr>
    </w:pPr>
    <w:rPr>
      <w:lang w:eastAsia="ja-JP"/>
    </w:rPr>
  </w:style>
  <w:style w:type="paragraph" w:styleId="TableofFigures">
    <w:name w:val="table of figures"/>
    <w:basedOn w:val="BodyText"/>
    <w:next w:val="Normal"/>
    <w:uiPriority w:val="99"/>
    <w:rsid w:val="001543FE"/>
    <w:pPr>
      <w:ind w:left="1701" w:hanging="1701"/>
    </w:pPr>
    <w:rPr>
      <w:b/>
    </w:rPr>
  </w:style>
  <w:style w:type="character" w:customStyle="1" w:styleId="B1Char1">
    <w:name w:val="B1 Char1"/>
    <w:link w:val="B1"/>
    <w:qFormat/>
    <w:rsid w:val="001543FE"/>
    <w:rPr>
      <w:rFonts w:ascii="Times New Roman" w:hAnsi="Times New Roman"/>
      <w:lang w:eastAsia="zh-CN"/>
    </w:rPr>
  </w:style>
  <w:style w:type="character" w:customStyle="1" w:styleId="B2Char">
    <w:name w:val="B2 Char"/>
    <w:link w:val="B2"/>
    <w:qFormat/>
    <w:rsid w:val="001543FE"/>
    <w:rPr>
      <w:rFonts w:ascii="Times New Roman" w:hAnsi="Times New Roman"/>
      <w:lang w:eastAsia="ja-JP"/>
    </w:rPr>
  </w:style>
  <w:style w:type="character" w:customStyle="1" w:styleId="B3Char2">
    <w:name w:val="B3 Char2"/>
    <w:link w:val="B3"/>
    <w:qFormat/>
    <w:rsid w:val="001543FE"/>
    <w:rPr>
      <w:rFonts w:ascii="Times New Roman" w:hAnsi="Times New Roman"/>
      <w:lang w:eastAsia="ja-JP"/>
    </w:rPr>
  </w:style>
  <w:style w:type="character" w:customStyle="1" w:styleId="B4Char">
    <w:name w:val="B4 Char"/>
    <w:link w:val="B4"/>
    <w:rsid w:val="001543FE"/>
    <w:rPr>
      <w:rFonts w:ascii="Times New Roman" w:hAnsi="Times New Roman"/>
      <w:lang w:eastAsia="ja-JP"/>
    </w:rPr>
  </w:style>
  <w:style w:type="character" w:customStyle="1" w:styleId="B5Char">
    <w:name w:val="B5 Char"/>
    <w:link w:val="B5"/>
    <w:rsid w:val="001543FE"/>
    <w:rPr>
      <w:rFonts w:ascii="Times New Roman" w:hAnsi="Times New Roman"/>
      <w:lang w:eastAsia="ja-JP"/>
    </w:rPr>
  </w:style>
  <w:style w:type="paragraph" w:customStyle="1" w:styleId="B6">
    <w:name w:val="B6"/>
    <w:basedOn w:val="B5"/>
    <w:link w:val="B6Char"/>
    <w:rsid w:val="001543FE"/>
    <w:pPr>
      <w:ind w:left="1985"/>
    </w:pPr>
  </w:style>
  <w:style w:type="character" w:customStyle="1" w:styleId="B6Char">
    <w:name w:val="B6 Char"/>
    <w:link w:val="B6"/>
    <w:rsid w:val="001543FE"/>
    <w:rPr>
      <w:rFonts w:ascii="Times New Roman" w:hAnsi="Times New Roman"/>
      <w:lang w:eastAsia="ja-JP"/>
    </w:rPr>
  </w:style>
  <w:style w:type="paragraph" w:customStyle="1" w:styleId="B7">
    <w:name w:val="B7"/>
    <w:basedOn w:val="B6"/>
    <w:link w:val="B7Char"/>
    <w:rsid w:val="001543FE"/>
    <w:pPr>
      <w:ind w:left="2269"/>
    </w:pPr>
  </w:style>
  <w:style w:type="character" w:customStyle="1" w:styleId="B7Char">
    <w:name w:val="B7 Char"/>
    <w:basedOn w:val="B6Char"/>
    <w:link w:val="B7"/>
    <w:rsid w:val="001543FE"/>
    <w:rPr>
      <w:rFonts w:ascii="Times New Roman" w:hAnsi="Times New Roman"/>
      <w:lang w:eastAsia="ja-JP"/>
    </w:rPr>
  </w:style>
  <w:style w:type="paragraph" w:customStyle="1" w:styleId="B8">
    <w:name w:val="B8"/>
    <w:basedOn w:val="B7"/>
    <w:qFormat/>
    <w:rsid w:val="001543FE"/>
    <w:pPr>
      <w:ind w:left="2552"/>
    </w:pPr>
  </w:style>
  <w:style w:type="character" w:customStyle="1" w:styleId="BalloonTextChar">
    <w:name w:val="Balloon Text Char"/>
    <w:link w:val="BalloonText"/>
    <w:rsid w:val="001543FE"/>
    <w:rPr>
      <w:rFonts w:ascii="Segoe UI" w:hAnsi="Segoe UI" w:cs="Segoe UI"/>
      <w:sz w:val="18"/>
      <w:szCs w:val="18"/>
      <w:lang w:eastAsia="ja-JP"/>
    </w:rPr>
  </w:style>
  <w:style w:type="character" w:customStyle="1" w:styleId="CommentTextChar">
    <w:name w:val="Comment Text Char"/>
    <w:link w:val="CommentText"/>
    <w:qFormat/>
    <w:rsid w:val="001543FE"/>
    <w:rPr>
      <w:rFonts w:ascii="Times New Roman" w:hAnsi="Times New Roman"/>
      <w:lang w:eastAsia="ja-JP"/>
    </w:rPr>
  </w:style>
  <w:style w:type="character" w:customStyle="1" w:styleId="CommentSubjectChar">
    <w:name w:val="Comment Subject Char"/>
    <w:link w:val="CommentSubject"/>
    <w:rsid w:val="001543FE"/>
    <w:rPr>
      <w:rFonts w:ascii="Times New Roman" w:hAnsi="Times New Roman"/>
      <w:b/>
      <w:bCs/>
      <w:lang w:eastAsia="ja-JP"/>
    </w:rPr>
  </w:style>
  <w:style w:type="paragraph" w:customStyle="1" w:styleId="CRCoverPage">
    <w:name w:val="CR Cover Page"/>
    <w:link w:val="CRCoverPageZchn"/>
    <w:rsid w:val="001543FE"/>
    <w:pPr>
      <w:spacing w:after="120"/>
    </w:pPr>
    <w:rPr>
      <w:rFonts w:ascii="Arial" w:hAnsi="Arial"/>
      <w:lang w:eastAsia="ko-KR"/>
    </w:rPr>
  </w:style>
  <w:style w:type="character" w:customStyle="1" w:styleId="CRCoverPageZchn">
    <w:name w:val="CR Cover Page Zchn"/>
    <w:link w:val="CRCoverPage"/>
    <w:rsid w:val="001543FE"/>
    <w:rPr>
      <w:rFonts w:ascii="Arial" w:hAnsi="Arial"/>
      <w:lang w:eastAsia="ko-KR"/>
    </w:rPr>
  </w:style>
  <w:style w:type="paragraph" w:customStyle="1" w:styleId="Doc-text2">
    <w:name w:val="Doc-text2"/>
    <w:basedOn w:val="Normal"/>
    <w:link w:val="Doc-text2Char"/>
    <w:qFormat/>
    <w:rsid w:val="001543FE"/>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1543FE"/>
    <w:rPr>
      <w:rFonts w:ascii="Arial" w:eastAsia="MS Mincho" w:hAnsi="Arial"/>
      <w:szCs w:val="24"/>
      <w:lang w:val="x-none" w:eastAsia="x-none"/>
    </w:rPr>
  </w:style>
  <w:style w:type="character" w:customStyle="1" w:styleId="DocumentMapChar">
    <w:name w:val="Document Map Char"/>
    <w:link w:val="DocumentMap"/>
    <w:rsid w:val="001543FE"/>
    <w:rPr>
      <w:rFonts w:ascii="Tahoma" w:hAnsi="Tahoma" w:cs="Tahoma"/>
      <w:shd w:val="clear" w:color="auto" w:fill="000080"/>
      <w:lang w:eastAsia="ja-JP"/>
    </w:rPr>
  </w:style>
  <w:style w:type="paragraph" w:customStyle="1" w:styleId="NO">
    <w:name w:val="NO"/>
    <w:basedOn w:val="Normal"/>
    <w:link w:val="NOChar"/>
    <w:rsid w:val="001543FE"/>
    <w:pPr>
      <w:keepLines/>
      <w:ind w:left="1135" w:hanging="851"/>
    </w:pPr>
  </w:style>
  <w:style w:type="character" w:customStyle="1" w:styleId="NOChar">
    <w:name w:val="NO Char"/>
    <w:link w:val="NO"/>
    <w:qFormat/>
    <w:rsid w:val="001543FE"/>
    <w:rPr>
      <w:rFonts w:ascii="Times New Roman" w:hAnsi="Times New Roman"/>
      <w:lang w:eastAsia="ja-JP"/>
    </w:rPr>
  </w:style>
  <w:style w:type="character" w:customStyle="1" w:styleId="EditorsNoteChar">
    <w:name w:val="Editor's Note Char"/>
    <w:link w:val="EditorsNote"/>
    <w:rsid w:val="001543FE"/>
    <w:rPr>
      <w:rFonts w:ascii="Times New Roman" w:hAnsi="Times New Roman"/>
      <w:color w:val="FF0000"/>
      <w:lang w:val="x-none" w:eastAsia="x-none"/>
    </w:rPr>
  </w:style>
  <w:style w:type="paragraph" w:customStyle="1" w:styleId="EmailDiscussion">
    <w:name w:val="EmailDiscussion"/>
    <w:basedOn w:val="Normal"/>
    <w:next w:val="Normal"/>
    <w:rsid w:val="001543FE"/>
    <w:pPr>
      <w:numPr>
        <w:numId w:val="5"/>
      </w:numPr>
      <w:spacing w:before="40"/>
    </w:pPr>
    <w:rPr>
      <w:rFonts w:ascii="Arial" w:eastAsia="MS Mincho" w:hAnsi="Arial"/>
      <w:b/>
      <w:szCs w:val="24"/>
      <w:lang w:eastAsia="en-GB"/>
    </w:rPr>
  </w:style>
  <w:style w:type="character" w:styleId="Emphasis">
    <w:name w:val="Emphasis"/>
    <w:qFormat/>
    <w:rsid w:val="001543FE"/>
    <w:rPr>
      <w:i/>
      <w:iCs/>
    </w:rPr>
  </w:style>
  <w:style w:type="paragraph" w:customStyle="1" w:styleId="FigureTitle">
    <w:name w:val="Figure_Title"/>
    <w:basedOn w:val="Normal"/>
    <w:next w:val="Normal"/>
    <w:rsid w:val="001543FE"/>
    <w:pPr>
      <w:keepLines/>
      <w:tabs>
        <w:tab w:val="left" w:pos="794"/>
        <w:tab w:val="left" w:pos="1191"/>
        <w:tab w:val="left" w:pos="1588"/>
        <w:tab w:val="left" w:pos="1985"/>
      </w:tabs>
      <w:spacing w:after="480"/>
      <w:jc w:val="center"/>
    </w:pPr>
    <w:rPr>
      <w:b/>
      <w:sz w:val="24"/>
      <w:lang w:eastAsia="en-GB"/>
    </w:rPr>
  </w:style>
  <w:style w:type="character" w:customStyle="1" w:styleId="HeaderChar">
    <w:name w:val="Header Char"/>
    <w:link w:val="Header"/>
    <w:rsid w:val="001543FE"/>
    <w:rPr>
      <w:rFonts w:ascii="Arial" w:hAnsi="Arial"/>
      <w:b/>
      <w:noProof/>
      <w:sz w:val="18"/>
      <w:lang w:eastAsia="ja-JP"/>
    </w:rPr>
  </w:style>
  <w:style w:type="character" w:customStyle="1" w:styleId="FooterChar">
    <w:name w:val="Footer Char"/>
    <w:link w:val="Footer"/>
    <w:rsid w:val="001543FE"/>
    <w:rPr>
      <w:rFonts w:ascii="Arial" w:hAnsi="Arial"/>
      <w:b/>
      <w:i/>
      <w:noProof/>
      <w:sz w:val="18"/>
      <w:lang w:eastAsia="ja-JP"/>
    </w:rPr>
  </w:style>
  <w:style w:type="character" w:customStyle="1" w:styleId="FootnoteTextChar">
    <w:name w:val="Footnote Text Char"/>
    <w:link w:val="FootnoteText"/>
    <w:rsid w:val="001543FE"/>
    <w:rPr>
      <w:rFonts w:ascii="Times New Roman" w:hAnsi="Times New Roman"/>
      <w:sz w:val="16"/>
      <w:lang w:eastAsia="ja-JP"/>
    </w:rPr>
  </w:style>
  <w:style w:type="paragraph" w:customStyle="1" w:styleId="Guidance">
    <w:name w:val="Guidance"/>
    <w:basedOn w:val="Normal"/>
    <w:rsid w:val="001543FE"/>
    <w:rPr>
      <w:i/>
      <w:color w:val="0000FF"/>
    </w:rPr>
  </w:style>
  <w:style w:type="character" w:customStyle="1" w:styleId="Heading2Char">
    <w:name w:val="Heading 2 Char"/>
    <w:basedOn w:val="DefaultParagraphFont"/>
    <w:link w:val="Heading2"/>
    <w:uiPriority w:val="9"/>
    <w:rsid w:val="00FA0835"/>
    <w:rPr>
      <w:rFonts w:ascii="Corbel" w:eastAsiaTheme="majorEastAsia" w:hAnsi="Corbel" w:cstheme="majorBidi"/>
      <w:color w:val="4472C4" w:themeColor="accent1"/>
      <w:sz w:val="26"/>
      <w:szCs w:val="26"/>
      <w:lang w:val="en-US" w:eastAsia="en-US"/>
    </w:rPr>
  </w:style>
  <w:style w:type="character" w:customStyle="1" w:styleId="Heading3Char">
    <w:name w:val="Heading 3 Char"/>
    <w:basedOn w:val="DefaultParagraphFont"/>
    <w:link w:val="Heading3"/>
    <w:uiPriority w:val="9"/>
    <w:rsid w:val="00FA0835"/>
    <w:rPr>
      <w:rFonts w:ascii="Corbel" w:eastAsiaTheme="majorEastAsia" w:hAnsi="Corbel" w:cstheme="majorBidi"/>
      <w:b/>
      <w:bCs/>
      <w:color w:val="4472C4" w:themeColor="accent1"/>
      <w:sz w:val="26"/>
      <w:szCs w:val="26"/>
      <w:lang w:val="en-US" w:eastAsia="en-US"/>
    </w:rPr>
  </w:style>
  <w:style w:type="character" w:customStyle="1" w:styleId="Heading4Char">
    <w:name w:val="Heading 4 Char"/>
    <w:basedOn w:val="DefaultParagraphFont"/>
    <w:link w:val="Heading4"/>
    <w:uiPriority w:val="9"/>
    <w:rsid w:val="00FA0835"/>
    <w:rPr>
      <w:rFonts w:ascii="Corbel" w:eastAsiaTheme="majorEastAsia" w:hAnsi="Corbel" w:cstheme="majorBidi"/>
      <w:iCs/>
      <w:color w:val="4472C4" w:themeColor="accent1"/>
      <w:sz w:val="26"/>
      <w:szCs w:val="26"/>
      <w:lang w:val="en-US" w:eastAsia="en-US"/>
    </w:rPr>
  </w:style>
  <w:style w:type="character" w:customStyle="1" w:styleId="Heading5Char">
    <w:name w:val="Heading 5 Char"/>
    <w:basedOn w:val="DefaultParagraphFont"/>
    <w:link w:val="Heading5"/>
    <w:uiPriority w:val="9"/>
    <w:rsid w:val="00FA0835"/>
    <w:rPr>
      <w:rFonts w:ascii="Corbel" w:eastAsiaTheme="majorEastAsia" w:hAnsi="Corbel" w:cstheme="majorBidi"/>
      <w:i/>
      <w:iCs/>
      <w:color w:val="1F3763" w:themeColor="accent1" w:themeShade="7F"/>
      <w:sz w:val="26"/>
      <w:szCs w:val="26"/>
      <w:lang w:val="en-US" w:eastAsia="en-US"/>
    </w:rPr>
  </w:style>
  <w:style w:type="paragraph" w:customStyle="1" w:styleId="H6">
    <w:name w:val="H6"/>
    <w:basedOn w:val="Heading5"/>
    <w:next w:val="Normal"/>
    <w:rsid w:val="001543FE"/>
    <w:pPr>
      <w:ind w:left="1985" w:hanging="1985"/>
      <w:outlineLvl w:val="9"/>
    </w:pPr>
    <w:rPr>
      <w:sz w:val="20"/>
    </w:rPr>
  </w:style>
  <w:style w:type="character" w:customStyle="1" w:styleId="Heading6Char">
    <w:name w:val="Heading 6 Char"/>
    <w:basedOn w:val="DefaultParagraphFont"/>
    <w:link w:val="Heading6"/>
    <w:uiPriority w:val="9"/>
    <w:rsid w:val="00FA0835"/>
    <w:rPr>
      <w:rFonts w:asciiTheme="majorHAnsi" w:eastAsiaTheme="majorEastAsia" w:hAnsiTheme="majorHAnsi" w:cstheme="majorBidi"/>
      <w:i/>
      <w:iCs/>
      <w:color w:val="1F3763" w:themeColor="accent1" w:themeShade="7F"/>
      <w:sz w:val="22"/>
      <w:szCs w:val="22"/>
      <w:lang w:eastAsia="en-US"/>
    </w:rPr>
  </w:style>
  <w:style w:type="character" w:customStyle="1" w:styleId="Heading7Char">
    <w:name w:val="Heading 7 Char"/>
    <w:basedOn w:val="DefaultParagraphFont"/>
    <w:link w:val="Heading7"/>
    <w:uiPriority w:val="9"/>
    <w:rsid w:val="00FA0835"/>
    <w:rPr>
      <w:rFonts w:asciiTheme="majorHAnsi" w:eastAsiaTheme="majorEastAsia" w:hAnsiTheme="majorHAnsi" w:cstheme="majorBidi"/>
      <w:i/>
      <w:iCs/>
      <w:color w:val="404040" w:themeColor="text1" w:themeTint="BF"/>
      <w:sz w:val="22"/>
      <w:szCs w:val="22"/>
      <w:lang w:eastAsia="en-US"/>
    </w:rPr>
  </w:style>
  <w:style w:type="character" w:customStyle="1" w:styleId="Heading8Char">
    <w:name w:val="Heading 8 Char"/>
    <w:basedOn w:val="DefaultParagraphFont"/>
    <w:link w:val="Heading8"/>
    <w:uiPriority w:val="9"/>
    <w:rsid w:val="00FA0835"/>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uiPriority w:val="9"/>
    <w:rsid w:val="00FA0835"/>
    <w:rPr>
      <w:rFonts w:asciiTheme="majorHAnsi" w:eastAsiaTheme="majorEastAsia" w:hAnsiTheme="majorHAnsi" w:cstheme="majorBidi"/>
      <w:i/>
      <w:iCs/>
      <w:color w:val="404040" w:themeColor="text1" w:themeTint="BF"/>
      <w:lang w:eastAsia="en-US"/>
    </w:rPr>
  </w:style>
  <w:style w:type="character" w:styleId="HTMLCode">
    <w:name w:val="HTML Code"/>
    <w:uiPriority w:val="99"/>
    <w:unhideWhenUsed/>
    <w:rsid w:val="001543FE"/>
    <w:rPr>
      <w:rFonts w:ascii="Courier New" w:eastAsia="Times New Roman" w:hAnsi="Courier New" w:cs="Courier New"/>
      <w:sz w:val="20"/>
      <w:szCs w:val="20"/>
    </w:rPr>
  </w:style>
  <w:style w:type="paragraph" w:styleId="IndexHeading">
    <w:name w:val="index heading"/>
    <w:basedOn w:val="Normal"/>
    <w:next w:val="Normal"/>
    <w:rsid w:val="001543FE"/>
    <w:pPr>
      <w:pBdr>
        <w:top w:val="single" w:sz="12" w:space="0" w:color="auto"/>
      </w:pBdr>
      <w:spacing w:before="360" w:after="240"/>
    </w:pPr>
    <w:rPr>
      <w:b/>
      <w:i/>
      <w:sz w:val="26"/>
      <w:lang w:eastAsia="en-GB"/>
    </w:rPr>
  </w:style>
  <w:style w:type="paragraph" w:customStyle="1" w:styleId="LD">
    <w:name w:val="LD"/>
    <w:rsid w:val="001543F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ño’i—Ž,¥¡¡¡¡ì¬º¥¹¥È¶ÎÂä,ÁÐ³ö¶ÎÂä,¥ê¥¹¥È¶ÎÂä,列表段落1,1st level - Bullet List Paragraph,Lettre d'introduction,Paragrafo elenco,Normal bullet 2,Bullet list,列表段落11"/>
    <w:basedOn w:val="Normal"/>
    <w:link w:val="ListParagraphChar"/>
    <w:uiPriority w:val="34"/>
    <w:qFormat/>
    <w:rsid w:val="00FA0835"/>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ño’i—Ž Char,¥¡¡¡¡ì¬º¥¹¥È¶ÎÂä Char,ÁÐ³ö¶ÎÂä Char,¥ê¥¹¥È¶ÎÂä Char,列表段落1 Char,Paragrafo elenco Char"/>
    <w:link w:val="ListParagraph"/>
    <w:uiPriority w:val="34"/>
    <w:qFormat/>
    <w:locked/>
    <w:rsid w:val="001543FE"/>
    <w:rPr>
      <w:rFonts w:ascii="Corbel" w:eastAsiaTheme="minorHAnsi" w:hAnsi="Corbel" w:cstheme="minorBidi"/>
      <w:sz w:val="22"/>
      <w:szCs w:val="22"/>
      <w:lang w:val="en-US" w:eastAsia="en-US"/>
    </w:rPr>
  </w:style>
  <w:style w:type="paragraph" w:customStyle="1" w:styleId="NF">
    <w:name w:val="NF"/>
    <w:basedOn w:val="NO"/>
    <w:rsid w:val="001543FE"/>
    <w:pPr>
      <w:keepNext/>
    </w:pPr>
    <w:rPr>
      <w:rFonts w:ascii="Arial" w:hAnsi="Arial"/>
      <w:sz w:val="18"/>
    </w:rPr>
  </w:style>
  <w:style w:type="paragraph" w:customStyle="1" w:styleId="NW">
    <w:name w:val="NW"/>
    <w:basedOn w:val="NO"/>
    <w:rsid w:val="001543FE"/>
  </w:style>
  <w:style w:type="paragraph" w:customStyle="1" w:styleId="PL">
    <w:name w:val="PL"/>
    <w:link w:val="PLChar"/>
    <w:qFormat/>
    <w:rsid w:val="001543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543FE"/>
    <w:rPr>
      <w:rFonts w:ascii="Courier New" w:eastAsia="Batang" w:hAnsi="Courier New"/>
      <w:noProof/>
      <w:sz w:val="16"/>
      <w:shd w:val="clear" w:color="auto" w:fill="E6E6E6"/>
      <w:lang w:eastAsia="sv-SE"/>
    </w:rPr>
  </w:style>
  <w:style w:type="paragraph" w:styleId="PlainText">
    <w:name w:val="Plain Text"/>
    <w:basedOn w:val="Normal"/>
    <w:link w:val="PlainTextChar"/>
    <w:rsid w:val="001543FE"/>
    <w:rPr>
      <w:rFonts w:ascii="Courier New" w:hAnsi="Courier New"/>
      <w:lang w:val="nb-NO"/>
    </w:rPr>
  </w:style>
  <w:style w:type="character" w:customStyle="1" w:styleId="PlainTextChar">
    <w:name w:val="Plain Text Char"/>
    <w:link w:val="PlainText"/>
    <w:rsid w:val="001543FE"/>
    <w:rPr>
      <w:rFonts w:ascii="Courier New" w:hAnsi="Courier New"/>
      <w:lang w:val="nb-NO" w:eastAsia="ja-JP"/>
    </w:rPr>
  </w:style>
  <w:style w:type="character" w:styleId="Strong">
    <w:name w:val="Strong"/>
    <w:uiPriority w:val="22"/>
    <w:qFormat/>
    <w:rsid w:val="001543FE"/>
    <w:rPr>
      <w:b/>
      <w:bCs/>
    </w:rPr>
  </w:style>
  <w:style w:type="table" w:styleId="TableGrid">
    <w:name w:val="Table Grid"/>
    <w:basedOn w:val="TableNormal"/>
    <w:uiPriority w:val="39"/>
    <w:qFormat/>
    <w:rsid w:val="001543F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543FE"/>
    <w:rPr>
      <w:rFonts w:ascii="Arial" w:hAnsi="Arial"/>
      <w:sz w:val="18"/>
      <w:lang w:val="x-none" w:eastAsia="x-none"/>
    </w:rPr>
  </w:style>
  <w:style w:type="character" w:customStyle="1" w:styleId="TAHCar">
    <w:name w:val="TAH Car"/>
    <w:link w:val="TAH"/>
    <w:qFormat/>
    <w:locked/>
    <w:rsid w:val="001543FE"/>
    <w:rPr>
      <w:rFonts w:ascii="Arial" w:hAnsi="Arial"/>
      <w:b/>
      <w:sz w:val="18"/>
      <w:lang w:val="x-none" w:eastAsia="x-none"/>
    </w:rPr>
  </w:style>
  <w:style w:type="character" w:customStyle="1" w:styleId="THChar">
    <w:name w:val="TH Char"/>
    <w:link w:val="TH"/>
    <w:qFormat/>
    <w:rsid w:val="001543FE"/>
    <w:rPr>
      <w:rFonts w:ascii="Arial" w:hAnsi="Arial"/>
      <w:b/>
      <w:lang w:val="x-none" w:eastAsia="x-none"/>
    </w:rPr>
  </w:style>
  <w:style w:type="paragraph" w:customStyle="1" w:styleId="TAJ">
    <w:name w:val="TAJ"/>
    <w:basedOn w:val="TH"/>
    <w:rsid w:val="001543FE"/>
  </w:style>
  <w:style w:type="paragraph" w:customStyle="1" w:styleId="TALCharChar">
    <w:name w:val="TAL Char Char"/>
    <w:basedOn w:val="Normal"/>
    <w:link w:val="TALCharCharChar"/>
    <w:rsid w:val="001543FE"/>
    <w:pPr>
      <w:keepNext/>
      <w:keepLines/>
    </w:pPr>
    <w:rPr>
      <w:rFonts w:ascii="Arial" w:eastAsia="Malgun Gothic" w:hAnsi="Arial"/>
      <w:sz w:val="18"/>
      <w:lang w:val="x-none" w:eastAsia="x-none"/>
    </w:rPr>
  </w:style>
  <w:style w:type="character" w:customStyle="1" w:styleId="TALCharCharChar">
    <w:name w:val="TAL Char Char Char"/>
    <w:link w:val="TALCharChar"/>
    <w:rsid w:val="001543FE"/>
    <w:rPr>
      <w:rFonts w:ascii="Arial" w:eastAsia="Malgun Gothic" w:hAnsi="Arial"/>
      <w:sz w:val="18"/>
      <w:lang w:val="x-none" w:eastAsia="x-none"/>
    </w:rPr>
  </w:style>
  <w:style w:type="character" w:customStyle="1" w:styleId="TFChar">
    <w:name w:val="TF Char"/>
    <w:link w:val="TF"/>
    <w:rsid w:val="001543FE"/>
    <w:rPr>
      <w:rFonts w:ascii="Arial" w:hAnsi="Arial"/>
      <w:b/>
      <w:lang w:val="x-none" w:eastAsia="x-none"/>
    </w:rPr>
  </w:style>
  <w:style w:type="paragraph" w:styleId="ListContinue">
    <w:name w:val="List Continue"/>
    <w:basedOn w:val="Normal"/>
    <w:rsid w:val="001543FE"/>
    <w:pPr>
      <w:spacing w:after="120"/>
      <w:ind w:left="283"/>
      <w:contextualSpacing/>
    </w:pPr>
    <w:rPr>
      <w:rFonts w:ascii="Arial" w:hAnsi="Arial"/>
    </w:rPr>
  </w:style>
  <w:style w:type="paragraph" w:styleId="ListContinue2">
    <w:name w:val="List Continue 2"/>
    <w:basedOn w:val="Normal"/>
    <w:rsid w:val="001543FE"/>
    <w:pPr>
      <w:spacing w:after="120"/>
      <w:ind w:left="566"/>
      <w:contextualSpacing/>
    </w:pPr>
    <w:rPr>
      <w:rFonts w:ascii="Arial" w:hAnsi="Arial"/>
    </w:rPr>
  </w:style>
  <w:style w:type="paragraph" w:styleId="ListNumber3">
    <w:name w:val="List Number 3"/>
    <w:basedOn w:val="ListNumber2"/>
    <w:rsid w:val="001543FE"/>
    <w:pPr>
      <w:numPr>
        <w:numId w:val="3"/>
      </w:numPr>
      <w:contextualSpacing/>
    </w:pPr>
  </w:style>
  <w:style w:type="character" w:customStyle="1" w:styleId="ReferenceChar">
    <w:name w:val="Reference Char"/>
    <w:link w:val="Reference"/>
    <w:rsid w:val="00431ADB"/>
    <w:rPr>
      <w:rFonts w:ascii="Arial" w:eastAsiaTheme="minorHAnsi" w:hAnsi="Arial" w:cstheme="minorBidi"/>
      <w:sz w:val="22"/>
      <w:szCs w:val="22"/>
      <w:lang w:eastAsia="en-US"/>
    </w:rPr>
  </w:style>
  <w:style w:type="paragraph" w:styleId="NormalWeb">
    <w:name w:val="Normal (Web)"/>
    <w:basedOn w:val="Normal"/>
    <w:uiPriority w:val="99"/>
    <w:unhideWhenUsed/>
    <w:rsid w:val="00327226"/>
    <w:pPr>
      <w:spacing w:before="100" w:beforeAutospacing="1" w:after="100" w:afterAutospacing="1"/>
    </w:pPr>
    <w:rPr>
      <w:sz w:val="24"/>
      <w:szCs w:val="24"/>
      <w:lang w:bidi="te-IN"/>
    </w:rPr>
  </w:style>
  <w:style w:type="paragraph" w:customStyle="1" w:styleId="IvDbodytext">
    <w:name w:val="IvD bodytext"/>
    <w:basedOn w:val="BodyText"/>
    <w:link w:val="IvDbodytextChar"/>
    <w:qFormat/>
    <w:rsid w:val="00FA1765"/>
    <w:pPr>
      <w:keepLines/>
      <w:tabs>
        <w:tab w:val="left" w:pos="2552"/>
        <w:tab w:val="left" w:pos="3856"/>
        <w:tab w:val="left" w:pos="5216"/>
        <w:tab w:val="left" w:pos="6464"/>
        <w:tab w:val="left" w:pos="7768"/>
        <w:tab w:val="left" w:pos="9072"/>
        <w:tab w:val="left" w:pos="9639"/>
      </w:tabs>
      <w:spacing w:before="240" w:after="160"/>
    </w:pPr>
    <w:rPr>
      <w:spacing w:val="2"/>
    </w:rPr>
  </w:style>
  <w:style w:type="character" w:customStyle="1" w:styleId="IvDbodytextChar">
    <w:name w:val="IvD bodytext Char"/>
    <w:link w:val="IvDbodytext"/>
    <w:rsid w:val="00FA1765"/>
    <w:rPr>
      <w:rFonts w:ascii="Arial" w:eastAsiaTheme="minorEastAsia" w:hAnsi="Arial" w:cstheme="minorBidi"/>
      <w:spacing w:val="2"/>
      <w:sz w:val="22"/>
      <w:szCs w:val="22"/>
      <w:lang w:val="en-US" w:eastAsia="zh-CN"/>
    </w:rPr>
  </w:style>
  <w:style w:type="paragraph" w:styleId="BlockText">
    <w:name w:val="Block Text"/>
    <w:basedOn w:val="Normal"/>
    <w:rsid w:val="006C6EED"/>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i/>
      <w:iCs/>
      <w:color w:val="4472C4" w:themeColor="accent1"/>
    </w:rPr>
  </w:style>
  <w:style w:type="table" w:styleId="PlainTable1">
    <w:name w:val="Plain Table 1"/>
    <w:basedOn w:val="TableNormal"/>
    <w:uiPriority w:val="41"/>
    <w:rsid w:val="00D4275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D42755"/>
    <w:rPr>
      <w:rFonts w:ascii="Times New Roman" w:hAnsi="Times New Roman"/>
      <w:b/>
    </w:rPr>
  </w:style>
  <w:style w:type="character" w:customStyle="1" w:styleId="B1Char">
    <w:name w:val="B1 Char"/>
    <w:rsid w:val="006E6538"/>
    <w:rPr>
      <w:lang w:val="en-GB"/>
    </w:rPr>
  </w:style>
  <w:style w:type="table" w:customStyle="1" w:styleId="TableGrid1">
    <w:name w:val="Table Grid1"/>
    <w:basedOn w:val="TableNormal"/>
    <w:next w:val="TableGrid"/>
    <w:qFormat/>
    <w:rsid w:val="00EF6BAA"/>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s">
    <w:name w:val="Bos"/>
    <w:basedOn w:val="Normal"/>
    <w:qFormat/>
    <w:rsid w:val="000B6B83"/>
    <w:pPr>
      <w:ind w:left="360"/>
    </w:pPr>
    <w:rPr>
      <w:rFonts w:eastAsia="Times New Roman" w:cs="Calibri"/>
    </w:rPr>
  </w:style>
  <w:style w:type="character" w:styleId="PlaceholderText">
    <w:name w:val="Placeholder Text"/>
    <w:basedOn w:val="DefaultParagraphFont"/>
    <w:uiPriority w:val="99"/>
    <w:semiHidden/>
    <w:rsid w:val="00831721"/>
    <w:rPr>
      <w:color w:val="808080"/>
    </w:rPr>
  </w:style>
  <w:style w:type="paragraph" w:styleId="Revision">
    <w:name w:val="Revision"/>
    <w:hidden/>
    <w:uiPriority w:val="99"/>
    <w:semiHidden/>
    <w:rsid w:val="00D36B0E"/>
    <w:rPr>
      <w:rFonts w:asciiTheme="minorHAnsi" w:eastAsiaTheme="minorHAnsi" w:hAnsiTheme="minorHAnsi" w:cstheme="minorBidi"/>
      <w:sz w:val="22"/>
      <w:szCs w:val="22"/>
      <w:lang w:val="sv-SE" w:eastAsia="en-US"/>
    </w:rPr>
  </w:style>
  <w:style w:type="paragraph" w:customStyle="1" w:styleId="IvDInstructiontext">
    <w:name w:val="IvD Instructiontext"/>
    <w:basedOn w:val="BodyText"/>
    <w:link w:val="IvDInstructiontextChar"/>
    <w:uiPriority w:val="99"/>
    <w:qFormat/>
    <w:rsid w:val="005045A9"/>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5045A9"/>
    <w:rPr>
      <w:rFonts w:ascii="Arial" w:eastAsiaTheme="minorHAnsi" w:hAnsi="Arial" w:cstheme="minorBidi"/>
      <w:i/>
      <w:color w:val="7F7F7F" w:themeColor="text1" w:themeTint="80"/>
      <w:spacing w:val="2"/>
      <w:sz w:val="18"/>
      <w:szCs w:val="18"/>
      <w:lang w:eastAsia="en-US"/>
    </w:rPr>
  </w:style>
  <w:style w:type="paragraph" w:customStyle="1" w:styleId="paragraph">
    <w:name w:val="paragraph"/>
    <w:basedOn w:val="Normal"/>
    <w:rsid w:val="005045A9"/>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5045A9"/>
  </w:style>
  <w:style w:type="character" w:customStyle="1" w:styleId="eop">
    <w:name w:val="eop"/>
    <w:basedOn w:val="DefaultParagraphFont"/>
    <w:rsid w:val="005045A9"/>
  </w:style>
  <w:style w:type="character" w:customStyle="1" w:styleId="spellingerror">
    <w:name w:val="spellingerror"/>
    <w:basedOn w:val="DefaultParagraphFont"/>
    <w:rsid w:val="005045A9"/>
  </w:style>
  <w:style w:type="numbering" w:customStyle="1" w:styleId="baseHeadings">
    <w:name w:val="baseHeadings"/>
    <w:uiPriority w:val="99"/>
    <w:rsid w:val="00FA0835"/>
    <w:pPr>
      <w:numPr>
        <w:numId w:val="15"/>
      </w:numPr>
    </w:pPr>
  </w:style>
  <w:style w:type="paragraph" w:styleId="NoSpacing">
    <w:name w:val="No Spacing"/>
    <w:uiPriority w:val="1"/>
    <w:qFormat/>
    <w:rsid w:val="00FA0835"/>
    <w:pPr>
      <w:jc w:val="both"/>
    </w:pPr>
    <w:rPr>
      <w:rFonts w:ascii="Corbel" w:eastAsiaTheme="minorHAnsi" w:hAnsi="Corbel"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9529">
      <w:bodyDiv w:val="1"/>
      <w:marLeft w:val="0"/>
      <w:marRight w:val="0"/>
      <w:marTop w:val="0"/>
      <w:marBottom w:val="0"/>
      <w:divBdr>
        <w:top w:val="none" w:sz="0" w:space="0" w:color="auto"/>
        <w:left w:val="none" w:sz="0" w:space="0" w:color="auto"/>
        <w:bottom w:val="none" w:sz="0" w:space="0" w:color="auto"/>
        <w:right w:val="none" w:sz="0" w:space="0" w:color="auto"/>
      </w:divBdr>
    </w:div>
    <w:div w:id="103232366">
      <w:bodyDiv w:val="1"/>
      <w:marLeft w:val="0"/>
      <w:marRight w:val="0"/>
      <w:marTop w:val="0"/>
      <w:marBottom w:val="0"/>
      <w:divBdr>
        <w:top w:val="none" w:sz="0" w:space="0" w:color="auto"/>
        <w:left w:val="none" w:sz="0" w:space="0" w:color="auto"/>
        <w:bottom w:val="none" w:sz="0" w:space="0" w:color="auto"/>
        <w:right w:val="none" w:sz="0" w:space="0" w:color="auto"/>
      </w:divBdr>
    </w:div>
    <w:div w:id="185756100">
      <w:bodyDiv w:val="1"/>
      <w:marLeft w:val="0"/>
      <w:marRight w:val="0"/>
      <w:marTop w:val="0"/>
      <w:marBottom w:val="0"/>
      <w:divBdr>
        <w:top w:val="none" w:sz="0" w:space="0" w:color="auto"/>
        <w:left w:val="none" w:sz="0" w:space="0" w:color="auto"/>
        <w:bottom w:val="none" w:sz="0" w:space="0" w:color="auto"/>
        <w:right w:val="none" w:sz="0" w:space="0" w:color="auto"/>
      </w:divBdr>
    </w:div>
    <w:div w:id="242227053">
      <w:bodyDiv w:val="1"/>
      <w:marLeft w:val="0"/>
      <w:marRight w:val="0"/>
      <w:marTop w:val="0"/>
      <w:marBottom w:val="0"/>
      <w:divBdr>
        <w:top w:val="none" w:sz="0" w:space="0" w:color="auto"/>
        <w:left w:val="none" w:sz="0" w:space="0" w:color="auto"/>
        <w:bottom w:val="none" w:sz="0" w:space="0" w:color="auto"/>
        <w:right w:val="none" w:sz="0" w:space="0" w:color="auto"/>
      </w:divBdr>
    </w:div>
    <w:div w:id="263921465">
      <w:bodyDiv w:val="1"/>
      <w:marLeft w:val="0"/>
      <w:marRight w:val="0"/>
      <w:marTop w:val="0"/>
      <w:marBottom w:val="0"/>
      <w:divBdr>
        <w:top w:val="none" w:sz="0" w:space="0" w:color="auto"/>
        <w:left w:val="none" w:sz="0" w:space="0" w:color="auto"/>
        <w:bottom w:val="none" w:sz="0" w:space="0" w:color="auto"/>
        <w:right w:val="none" w:sz="0" w:space="0" w:color="auto"/>
      </w:divBdr>
      <w:divsChild>
        <w:div w:id="1664091884">
          <w:marLeft w:val="1123"/>
          <w:marRight w:val="0"/>
          <w:marTop w:val="60"/>
          <w:marBottom w:val="0"/>
          <w:divBdr>
            <w:top w:val="none" w:sz="0" w:space="0" w:color="auto"/>
            <w:left w:val="none" w:sz="0" w:space="0" w:color="auto"/>
            <w:bottom w:val="none" w:sz="0" w:space="0" w:color="auto"/>
            <w:right w:val="none" w:sz="0" w:space="0" w:color="auto"/>
          </w:divBdr>
        </w:div>
      </w:divsChild>
    </w:div>
    <w:div w:id="276178267">
      <w:bodyDiv w:val="1"/>
      <w:marLeft w:val="0"/>
      <w:marRight w:val="0"/>
      <w:marTop w:val="0"/>
      <w:marBottom w:val="0"/>
      <w:divBdr>
        <w:top w:val="none" w:sz="0" w:space="0" w:color="auto"/>
        <w:left w:val="none" w:sz="0" w:space="0" w:color="auto"/>
        <w:bottom w:val="none" w:sz="0" w:space="0" w:color="auto"/>
        <w:right w:val="none" w:sz="0" w:space="0" w:color="auto"/>
      </w:divBdr>
    </w:div>
    <w:div w:id="436562368">
      <w:bodyDiv w:val="1"/>
      <w:marLeft w:val="0"/>
      <w:marRight w:val="0"/>
      <w:marTop w:val="0"/>
      <w:marBottom w:val="0"/>
      <w:divBdr>
        <w:top w:val="none" w:sz="0" w:space="0" w:color="auto"/>
        <w:left w:val="none" w:sz="0" w:space="0" w:color="auto"/>
        <w:bottom w:val="none" w:sz="0" w:space="0" w:color="auto"/>
        <w:right w:val="none" w:sz="0" w:space="0" w:color="auto"/>
      </w:divBdr>
    </w:div>
    <w:div w:id="489180816">
      <w:bodyDiv w:val="1"/>
      <w:marLeft w:val="0"/>
      <w:marRight w:val="0"/>
      <w:marTop w:val="0"/>
      <w:marBottom w:val="0"/>
      <w:divBdr>
        <w:top w:val="none" w:sz="0" w:space="0" w:color="auto"/>
        <w:left w:val="none" w:sz="0" w:space="0" w:color="auto"/>
        <w:bottom w:val="none" w:sz="0" w:space="0" w:color="auto"/>
        <w:right w:val="none" w:sz="0" w:space="0" w:color="auto"/>
      </w:divBdr>
    </w:div>
    <w:div w:id="525169935">
      <w:bodyDiv w:val="1"/>
      <w:marLeft w:val="0"/>
      <w:marRight w:val="0"/>
      <w:marTop w:val="0"/>
      <w:marBottom w:val="0"/>
      <w:divBdr>
        <w:top w:val="none" w:sz="0" w:space="0" w:color="auto"/>
        <w:left w:val="none" w:sz="0" w:space="0" w:color="auto"/>
        <w:bottom w:val="none" w:sz="0" w:space="0" w:color="auto"/>
        <w:right w:val="none" w:sz="0" w:space="0" w:color="auto"/>
      </w:divBdr>
    </w:div>
    <w:div w:id="635645244">
      <w:bodyDiv w:val="1"/>
      <w:marLeft w:val="0"/>
      <w:marRight w:val="0"/>
      <w:marTop w:val="0"/>
      <w:marBottom w:val="0"/>
      <w:divBdr>
        <w:top w:val="none" w:sz="0" w:space="0" w:color="auto"/>
        <w:left w:val="none" w:sz="0" w:space="0" w:color="auto"/>
        <w:bottom w:val="none" w:sz="0" w:space="0" w:color="auto"/>
        <w:right w:val="none" w:sz="0" w:space="0" w:color="auto"/>
      </w:divBdr>
    </w:div>
    <w:div w:id="656956798">
      <w:bodyDiv w:val="1"/>
      <w:marLeft w:val="0"/>
      <w:marRight w:val="0"/>
      <w:marTop w:val="0"/>
      <w:marBottom w:val="0"/>
      <w:divBdr>
        <w:top w:val="none" w:sz="0" w:space="0" w:color="auto"/>
        <w:left w:val="none" w:sz="0" w:space="0" w:color="auto"/>
        <w:bottom w:val="none" w:sz="0" w:space="0" w:color="auto"/>
        <w:right w:val="none" w:sz="0" w:space="0" w:color="auto"/>
      </w:divBdr>
    </w:div>
    <w:div w:id="657001791">
      <w:bodyDiv w:val="1"/>
      <w:marLeft w:val="0"/>
      <w:marRight w:val="0"/>
      <w:marTop w:val="0"/>
      <w:marBottom w:val="0"/>
      <w:divBdr>
        <w:top w:val="none" w:sz="0" w:space="0" w:color="auto"/>
        <w:left w:val="none" w:sz="0" w:space="0" w:color="auto"/>
        <w:bottom w:val="none" w:sz="0" w:space="0" w:color="auto"/>
        <w:right w:val="none" w:sz="0" w:space="0" w:color="auto"/>
      </w:divBdr>
    </w:div>
    <w:div w:id="745882037">
      <w:bodyDiv w:val="1"/>
      <w:marLeft w:val="0"/>
      <w:marRight w:val="0"/>
      <w:marTop w:val="0"/>
      <w:marBottom w:val="0"/>
      <w:divBdr>
        <w:top w:val="none" w:sz="0" w:space="0" w:color="auto"/>
        <w:left w:val="none" w:sz="0" w:space="0" w:color="auto"/>
        <w:bottom w:val="none" w:sz="0" w:space="0" w:color="auto"/>
        <w:right w:val="none" w:sz="0" w:space="0" w:color="auto"/>
      </w:divBdr>
    </w:div>
    <w:div w:id="791441768">
      <w:bodyDiv w:val="1"/>
      <w:marLeft w:val="0"/>
      <w:marRight w:val="0"/>
      <w:marTop w:val="0"/>
      <w:marBottom w:val="0"/>
      <w:divBdr>
        <w:top w:val="none" w:sz="0" w:space="0" w:color="auto"/>
        <w:left w:val="none" w:sz="0" w:space="0" w:color="auto"/>
        <w:bottom w:val="none" w:sz="0" w:space="0" w:color="auto"/>
        <w:right w:val="none" w:sz="0" w:space="0" w:color="auto"/>
      </w:divBdr>
      <w:divsChild>
        <w:div w:id="1025520324">
          <w:marLeft w:val="1123"/>
          <w:marRight w:val="0"/>
          <w:marTop w:val="60"/>
          <w:marBottom w:val="0"/>
          <w:divBdr>
            <w:top w:val="none" w:sz="0" w:space="0" w:color="auto"/>
            <w:left w:val="none" w:sz="0" w:space="0" w:color="auto"/>
            <w:bottom w:val="none" w:sz="0" w:space="0" w:color="auto"/>
            <w:right w:val="none" w:sz="0" w:space="0" w:color="auto"/>
          </w:divBdr>
        </w:div>
        <w:div w:id="1234857780">
          <w:marLeft w:val="1123"/>
          <w:marRight w:val="0"/>
          <w:marTop w:val="60"/>
          <w:marBottom w:val="0"/>
          <w:divBdr>
            <w:top w:val="none" w:sz="0" w:space="0" w:color="auto"/>
            <w:left w:val="none" w:sz="0" w:space="0" w:color="auto"/>
            <w:bottom w:val="none" w:sz="0" w:space="0" w:color="auto"/>
            <w:right w:val="none" w:sz="0" w:space="0" w:color="auto"/>
          </w:divBdr>
        </w:div>
        <w:div w:id="1712682455">
          <w:marLeft w:val="1123"/>
          <w:marRight w:val="0"/>
          <w:marTop w:val="60"/>
          <w:marBottom w:val="0"/>
          <w:divBdr>
            <w:top w:val="none" w:sz="0" w:space="0" w:color="auto"/>
            <w:left w:val="none" w:sz="0" w:space="0" w:color="auto"/>
            <w:bottom w:val="none" w:sz="0" w:space="0" w:color="auto"/>
            <w:right w:val="none" w:sz="0" w:space="0" w:color="auto"/>
          </w:divBdr>
        </w:div>
        <w:div w:id="1841966940">
          <w:marLeft w:val="547"/>
          <w:marRight w:val="0"/>
          <w:marTop w:val="60"/>
          <w:marBottom w:val="0"/>
          <w:divBdr>
            <w:top w:val="none" w:sz="0" w:space="0" w:color="auto"/>
            <w:left w:val="none" w:sz="0" w:space="0" w:color="auto"/>
            <w:bottom w:val="none" w:sz="0" w:space="0" w:color="auto"/>
            <w:right w:val="none" w:sz="0" w:space="0" w:color="auto"/>
          </w:divBdr>
        </w:div>
      </w:divsChild>
    </w:div>
    <w:div w:id="930967822">
      <w:bodyDiv w:val="1"/>
      <w:marLeft w:val="0"/>
      <w:marRight w:val="0"/>
      <w:marTop w:val="0"/>
      <w:marBottom w:val="0"/>
      <w:divBdr>
        <w:top w:val="none" w:sz="0" w:space="0" w:color="auto"/>
        <w:left w:val="none" w:sz="0" w:space="0" w:color="auto"/>
        <w:bottom w:val="none" w:sz="0" w:space="0" w:color="auto"/>
        <w:right w:val="none" w:sz="0" w:space="0" w:color="auto"/>
      </w:divBdr>
    </w:div>
    <w:div w:id="932007480">
      <w:bodyDiv w:val="1"/>
      <w:marLeft w:val="0"/>
      <w:marRight w:val="0"/>
      <w:marTop w:val="0"/>
      <w:marBottom w:val="0"/>
      <w:divBdr>
        <w:top w:val="none" w:sz="0" w:space="0" w:color="auto"/>
        <w:left w:val="none" w:sz="0" w:space="0" w:color="auto"/>
        <w:bottom w:val="none" w:sz="0" w:space="0" w:color="auto"/>
        <w:right w:val="none" w:sz="0" w:space="0" w:color="auto"/>
      </w:divBdr>
    </w:div>
    <w:div w:id="983507409">
      <w:bodyDiv w:val="1"/>
      <w:marLeft w:val="0"/>
      <w:marRight w:val="0"/>
      <w:marTop w:val="0"/>
      <w:marBottom w:val="0"/>
      <w:divBdr>
        <w:top w:val="none" w:sz="0" w:space="0" w:color="auto"/>
        <w:left w:val="none" w:sz="0" w:space="0" w:color="auto"/>
        <w:bottom w:val="none" w:sz="0" w:space="0" w:color="auto"/>
        <w:right w:val="none" w:sz="0" w:space="0" w:color="auto"/>
      </w:divBdr>
    </w:div>
    <w:div w:id="1048064225">
      <w:bodyDiv w:val="1"/>
      <w:marLeft w:val="0"/>
      <w:marRight w:val="0"/>
      <w:marTop w:val="0"/>
      <w:marBottom w:val="0"/>
      <w:divBdr>
        <w:top w:val="none" w:sz="0" w:space="0" w:color="auto"/>
        <w:left w:val="none" w:sz="0" w:space="0" w:color="auto"/>
        <w:bottom w:val="none" w:sz="0" w:space="0" w:color="auto"/>
        <w:right w:val="none" w:sz="0" w:space="0" w:color="auto"/>
      </w:divBdr>
      <w:divsChild>
        <w:div w:id="243033485">
          <w:marLeft w:val="547"/>
          <w:marRight w:val="0"/>
          <w:marTop w:val="60"/>
          <w:marBottom w:val="0"/>
          <w:divBdr>
            <w:top w:val="none" w:sz="0" w:space="0" w:color="auto"/>
            <w:left w:val="none" w:sz="0" w:space="0" w:color="auto"/>
            <w:bottom w:val="none" w:sz="0" w:space="0" w:color="auto"/>
            <w:right w:val="none" w:sz="0" w:space="0" w:color="auto"/>
          </w:divBdr>
        </w:div>
        <w:div w:id="450323693">
          <w:marLeft w:val="1123"/>
          <w:marRight w:val="0"/>
          <w:marTop w:val="60"/>
          <w:marBottom w:val="0"/>
          <w:divBdr>
            <w:top w:val="none" w:sz="0" w:space="0" w:color="auto"/>
            <w:left w:val="none" w:sz="0" w:space="0" w:color="auto"/>
            <w:bottom w:val="none" w:sz="0" w:space="0" w:color="auto"/>
            <w:right w:val="none" w:sz="0" w:space="0" w:color="auto"/>
          </w:divBdr>
        </w:div>
        <w:div w:id="1103652302">
          <w:marLeft w:val="547"/>
          <w:marRight w:val="0"/>
          <w:marTop w:val="60"/>
          <w:marBottom w:val="0"/>
          <w:divBdr>
            <w:top w:val="none" w:sz="0" w:space="0" w:color="auto"/>
            <w:left w:val="none" w:sz="0" w:space="0" w:color="auto"/>
            <w:bottom w:val="none" w:sz="0" w:space="0" w:color="auto"/>
            <w:right w:val="none" w:sz="0" w:space="0" w:color="auto"/>
          </w:divBdr>
        </w:div>
        <w:div w:id="1324696948">
          <w:marLeft w:val="1123"/>
          <w:marRight w:val="0"/>
          <w:marTop w:val="60"/>
          <w:marBottom w:val="0"/>
          <w:divBdr>
            <w:top w:val="none" w:sz="0" w:space="0" w:color="auto"/>
            <w:left w:val="none" w:sz="0" w:space="0" w:color="auto"/>
            <w:bottom w:val="none" w:sz="0" w:space="0" w:color="auto"/>
            <w:right w:val="none" w:sz="0" w:space="0" w:color="auto"/>
          </w:divBdr>
        </w:div>
        <w:div w:id="1489710314">
          <w:marLeft w:val="1123"/>
          <w:marRight w:val="0"/>
          <w:marTop w:val="60"/>
          <w:marBottom w:val="0"/>
          <w:divBdr>
            <w:top w:val="none" w:sz="0" w:space="0" w:color="auto"/>
            <w:left w:val="none" w:sz="0" w:space="0" w:color="auto"/>
            <w:bottom w:val="none" w:sz="0" w:space="0" w:color="auto"/>
            <w:right w:val="none" w:sz="0" w:space="0" w:color="auto"/>
          </w:divBdr>
        </w:div>
        <w:div w:id="1594582281">
          <w:marLeft w:val="547"/>
          <w:marRight w:val="0"/>
          <w:marTop w:val="60"/>
          <w:marBottom w:val="0"/>
          <w:divBdr>
            <w:top w:val="none" w:sz="0" w:space="0" w:color="auto"/>
            <w:left w:val="none" w:sz="0" w:space="0" w:color="auto"/>
            <w:bottom w:val="none" w:sz="0" w:space="0" w:color="auto"/>
            <w:right w:val="none" w:sz="0" w:space="0" w:color="auto"/>
          </w:divBdr>
        </w:div>
        <w:div w:id="1790079264">
          <w:marLeft w:val="547"/>
          <w:marRight w:val="0"/>
          <w:marTop w:val="60"/>
          <w:marBottom w:val="0"/>
          <w:divBdr>
            <w:top w:val="none" w:sz="0" w:space="0" w:color="auto"/>
            <w:left w:val="none" w:sz="0" w:space="0" w:color="auto"/>
            <w:bottom w:val="none" w:sz="0" w:space="0" w:color="auto"/>
            <w:right w:val="none" w:sz="0" w:space="0" w:color="auto"/>
          </w:divBdr>
        </w:div>
      </w:divsChild>
    </w:div>
    <w:div w:id="1058362660">
      <w:bodyDiv w:val="1"/>
      <w:marLeft w:val="0"/>
      <w:marRight w:val="0"/>
      <w:marTop w:val="0"/>
      <w:marBottom w:val="0"/>
      <w:divBdr>
        <w:top w:val="none" w:sz="0" w:space="0" w:color="auto"/>
        <w:left w:val="none" w:sz="0" w:space="0" w:color="auto"/>
        <w:bottom w:val="none" w:sz="0" w:space="0" w:color="auto"/>
        <w:right w:val="none" w:sz="0" w:space="0" w:color="auto"/>
      </w:divBdr>
    </w:div>
    <w:div w:id="1095632800">
      <w:bodyDiv w:val="1"/>
      <w:marLeft w:val="0"/>
      <w:marRight w:val="0"/>
      <w:marTop w:val="0"/>
      <w:marBottom w:val="0"/>
      <w:divBdr>
        <w:top w:val="none" w:sz="0" w:space="0" w:color="auto"/>
        <w:left w:val="none" w:sz="0" w:space="0" w:color="auto"/>
        <w:bottom w:val="none" w:sz="0" w:space="0" w:color="auto"/>
        <w:right w:val="none" w:sz="0" w:space="0" w:color="auto"/>
      </w:divBdr>
    </w:div>
    <w:div w:id="1096706623">
      <w:bodyDiv w:val="1"/>
      <w:marLeft w:val="0"/>
      <w:marRight w:val="0"/>
      <w:marTop w:val="0"/>
      <w:marBottom w:val="0"/>
      <w:divBdr>
        <w:top w:val="none" w:sz="0" w:space="0" w:color="auto"/>
        <w:left w:val="none" w:sz="0" w:space="0" w:color="auto"/>
        <w:bottom w:val="none" w:sz="0" w:space="0" w:color="auto"/>
        <w:right w:val="none" w:sz="0" w:space="0" w:color="auto"/>
      </w:divBdr>
      <w:divsChild>
        <w:div w:id="276453477">
          <w:marLeft w:val="547"/>
          <w:marRight w:val="0"/>
          <w:marTop w:val="60"/>
          <w:marBottom w:val="0"/>
          <w:divBdr>
            <w:top w:val="none" w:sz="0" w:space="0" w:color="auto"/>
            <w:left w:val="none" w:sz="0" w:space="0" w:color="auto"/>
            <w:bottom w:val="none" w:sz="0" w:space="0" w:color="auto"/>
            <w:right w:val="none" w:sz="0" w:space="0" w:color="auto"/>
          </w:divBdr>
        </w:div>
      </w:divsChild>
    </w:div>
    <w:div w:id="1121267724">
      <w:bodyDiv w:val="1"/>
      <w:marLeft w:val="0"/>
      <w:marRight w:val="0"/>
      <w:marTop w:val="0"/>
      <w:marBottom w:val="0"/>
      <w:divBdr>
        <w:top w:val="none" w:sz="0" w:space="0" w:color="auto"/>
        <w:left w:val="none" w:sz="0" w:space="0" w:color="auto"/>
        <w:bottom w:val="none" w:sz="0" w:space="0" w:color="auto"/>
        <w:right w:val="none" w:sz="0" w:space="0" w:color="auto"/>
      </w:divBdr>
    </w:div>
    <w:div w:id="1148935387">
      <w:bodyDiv w:val="1"/>
      <w:marLeft w:val="0"/>
      <w:marRight w:val="0"/>
      <w:marTop w:val="0"/>
      <w:marBottom w:val="0"/>
      <w:divBdr>
        <w:top w:val="none" w:sz="0" w:space="0" w:color="auto"/>
        <w:left w:val="none" w:sz="0" w:space="0" w:color="auto"/>
        <w:bottom w:val="none" w:sz="0" w:space="0" w:color="auto"/>
        <w:right w:val="none" w:sz="0" w:space="0" w:color="auto"/>
      </w:divBdr>
      <w:divsChild>
        <w:div w:id="49352369">
          <w:marLeft w:val="0"/>
          <w:marRight w:val="0"/>
          <w:marTop w:val="0"/>
          <w:marBottom w:val="0"/>
          <w:divBdr>
            <w:top w:val="none" w:sz="0" w:space="0" w:color="auto"/>
            <w:left w:val="none" w:sz="0" w:space="0" w:color="auto"/>
            <w:bottom w:val="none" w:sz="0" w:space="0" w:color="auto"/>
            <w:right w:val="none" w:sz="0" w:space="0" w:color="auto"/>
          </w:divBdr>
        </w:div>
        <w:div w:id="102043617">
          <w:marLeft w:val="0"/>
          <w:marRight w:val="0"/>
          <w:marTop w:val="0"/>
          <w:marBottom w:val="0"/>
          <w:divBdr>
            <w:top w:val="none" w:sz="0" w:space="0" w:color="auto"/>
            <w:left w:val="none" w:sz="0" w:space="0" w:color="auto"/>
            <w:bottom w:val="none" w:sz="0" w:space="0" w:color="auto"/>
            <w:right w:val="none" w:sz="0" w:space="0" w:color="auto"/>
          </w:divBdr>
        </w:div>
        <w:div w:id="113794537">
          <w:marLeft w:val="0"/>
          <w:marRight w:val="0"/>
          <w:marTop w:val="0"/>
          <w:marBottom w:val="0"/>
          <w:divBdr>
            <w:top w:val="none" w:sz="0" w:space="0" w:color="auto"/>
            <w:left w:val="none" w:sz="0" w:space="0" w:color="auto"/>
            <w:bottom w:val="none" w:sz="0" w:space="0" w:color="auto"/>
            <w:right w:val="none" w:sz="0" w:space="0" w:color="auto"/>
          </w:divBdr>
        </w:div>
        <w:div w:id="560218900">
          <w:marLeft w:val="0"/>
          <w:marRight w:val="0"/>
          <w:marTop w:val="0"/>
          <w:marBottom w:val="0"/>
          <w:divBdr>
            <w:top w:val="none" w:sz="0" w:space="0" w:color="auto"/>
            <w:left w:val="none" w:sz="0" w:space="0" w:color="auto"/>
            <w:bottom w:val="none" w:sz="0" w:space="0" w:color="auto"/>
            <w:right w:val="none" w:sz="0" w:space="0" w:color="auto"/>
          </w:divBdr>
        </w:div>
        <w:div w:id="1035161412">
          <w:marLeft w:val="0"/>
          <w:marRight w:val="0"/>
          <w:marTop w:val="0"/>
          <w:marBottom w:val="0"/>
          <w:divBdr>
            <w:top w:val="none" w:sz="0" w:space="0" w:color="auto"/>
            <w:left w:val="none" w:sz="0" w:space="0" w:color="auto"/>
            <w:bottom w:val="none" w:sz="0" w:space="0" w:color="auto"/>
            <w:right w:val="none" w:sz="0" w:space="0" w:color="auto"/>
          </w:divBdr>
        </w:div>
        <w:div w:id="1403718708">
          <w:marLeft w:val="0"/>
          <w:marRight w:val="0"/>
          <w:marTop w:val="0"/>
          <w:marBottom w:val="0"/>
          <w:divBdr>
            <w:top w:val="none" w:sz="0" w:space="0" w:color="auto"/>
            <w:left w:val="none" w:sz="0" w:space="0" w:color="auto"/>
            <w:bottom w:val="none" w:sz="0" w:space="0" w:color="auto"/>
            <w:right w:val="none" w:sz="0" w:space="0" w:color="auto"/>
          </w:divBdr>
        </w:div>
        <w:div w:id="1707288667">
          <w:marLeft w:val="0"/>
          <w:marRight w:val="0"/>
          <w:marTop w:val="0"/>
          <w:marBottom w:val="0"/>
          <w:divBdr>
            <w:top w:val="none" w:sz="0" w:space="0" w:color="auto"/>
            <w:left w:val="none" w:sz="0" w:space="0" w:color="auto"/>
            <w:bottom w:val="none" w:sz="0" w:space="0" w:color="auto"/>
            <w:right w:val="none" w:sz="0" w:space="0" w:color="auto"/>
          </w:divBdr>
        </w:div>
        <w:div w:id="1992130093">
          <w:marLeft w:val="0"/>
          <w:marRight w:val="0"/>
          <w:marTop w:val="0"/>
          <w:marBottom w:val="0"/>
          <w:divBdr>
            <w:top w:val="none" w:sz="0" w:space="0" w:color="auto"/>
            <w:left w:val="none" w:sz="0" w:space="0" w:color="auto"/>
            <w:bottom w:val="none" w:sz="0" w:space="0" w:color="auto"/>
            <w:right w:val="none" w:sz="0" w:space="0" w:color="auto"/>
          </w:divBdr>
        </w:div>
      </w:divsChild>
    </w:div>
    <w:div w:id="1285190400">
      <w:bodyDiv w:val="1"/>
      <w:marLeft w:val="0"/>
      <w:marRight w:val="0"/>
      <w:marTop w:val="0"/>
      <w:marBottom w:val="0"/>
      <w:divBdr>
        <w:top w:val="none" w:sz="0" w:space="0" w:color="auto"/>
        <w:left w:val="none" w:sz="0" w:space="0" w:color="auto"/>
        <w:bottom w:val="none" w:sz="0" w:space="0" w:color="auto"/>
        <w:right w:val="none" w:sz="0" w:space="0" w:color="auto"/>
      </w:divBdr>
    </w:div>
    <w:div w:id="1368337167">
      <w:bodyDiv w:val="1"/>
      <w:marLeft w:val="0"/>
      <w:marRight w:val="0"/>
      <w:marTop w:val="0"/>
      <w:marBottom w:val="0"/>
      <w:divBdr>
        <w:top w:val="none" w:sz="0" w:space="0" w:color="auto"/>
        <w:left w:val="none" w:sz="0" w:space="0" w:color="auto"/>
        <w:bottom w:val="none" w:sz="0" w:space="0" w:color="auto"/>
        <w:right w:val="none" w:sz="0" w:space="0" w:color="auto"/>
      </w:divBdr>
    </w:div>
    <w:div w:id="1389574509">
      <w:bodyDiv w:val="1"/>
      <w:marLeft w:val="0"/>
      <w:marRight w:val="0"/>
      <w:marTop w:val="0"/>
      <w:marBottom w:val="0"/>
      <w:divBdr>
        <w:top w:val="none" w:sz="0" w:space="0" w:color="auto"/>
        <w:left w:val="none" w:sz="0" w:space="0" w:color="auto"/>
        <w:bottom w:val="none" w:sz="0" w:space="0" w:color="auto"/>
        <w:right w:val="none" w:sz="0" w:space="0" w:color="auto"/>
      </w:divBdr>
    </w:div>
    <w:div w:id="1394351697">
      <w:bodyDiv w:val="1"/>
      <w:marLeft w:val="0"/>
      <w:marRight w:val="0"/>
      <w:marTop w:val="0"/>
      <w:marBottom w:val="0"/>
      <w:divBdr>
        <w:top w:val="none" w:sz="0" w:space="0" w:color="auto"/>
        <w:left w:val="none" w:sz="0" w:space="0" w:color="auto"/>
        <w:bottom w:val="none" w:sz="0" w:space="0" w:color="auto"/>
        <w:right w:val="none" w:sz="0" w:space="0" w:color="auto"/>
      </w:divBdr>
    </w:div>
    <w:div w:id="1423144167">
      <w:bodyDiv w:val="1"/>
      <w:marLeft w:val="0"/>
      <w:marRight w:val="0"/>
      <w:marTop w:val="0"/>
      <w:marBottom w:val="0"/>
      <w:divBdr>
        <w:top w:val="none" w:sz="0" w:space="0" w:color="auto"/>
        <w:left w:val="none" w:sz="0" w:space="0" w:color="auto"/>
        <w:bottom w:val="none" w:sz="0" w:space="0" w:color="auto"/>
        <w:right w:val="none" w:sz="0" w:space="0" w:color="auto"/>
      </w:divBdr>
      <w:divsChild>
        <w:div w:id="367803421">
          <w:marLeft w:val="1123"/>
          <w:marRight w:val="0"/>
          <w:marTop w:val="60"/>
          <w:marBottom w:val="0"/>
          <w:divBdr>
            <w:top w:val="none" w:sz="0" w:space="0" w:color="auto"/>
            <w:left w:val="none" w:sz="0" w:space="0" w:color="auto"/>
            <w:bottom w:val="none" w:sz="0" w:space="0" w:color="auto"/>
            <w:right w:val="none" w:sz="0" w:space="0" w:color="auto"/>
          </w:divBdr>
        </w:div>
        <w:div w:id="549003686">
          <w:marLeft w:val="1123"/>
          <w:marRight w:val="0"/>
          <w:marTop w:val="60"/>
          <w:marBottom w:val="0"/>
          <w:divBdr>
            <w:top w:val="none" w:sz="0" w:space="0" w:color="auto"/>
            <w:left w:val="none" w:sz="0" w:space="0" w:color="auto"/>
            <w:bottom w:val="none" w:sz="0" w:space="0" w:color="auto"/>
            <w:right w:val="none" w:sz="0" w:space="0" w:color="auto"/>
          </w:divBdr>
        </w:div>
        <w:div w:id="1012488068">
          <w:marLeft w:val="547"/>
          <w:marRight w:val="0"/>
          <w:marTop w:val="60"/>
          <w:marBottom w:val="0"/>
          <w:divBdr>
            <w:top w:val="none" w:sz="0" w:space="0" w:color="auto"/>
            <w:left w:val="none" w:sz="0" w:space="0" w:color="auto"/>
            <w:bottom w:val="none" w:sz="0" w:space="0" w:color="auto"/>
            <w:right w:val="none" w:sz="0" w:space="0" w:color="auto"/>
          </w:divBdr>
        </w:div>
        <w:div w:id="1048532343">
          <w:marLeft w:val="1123"/>
          <w:marRight w:val="0"/>
          <w:marTop w:val="60"/>
          <w:marBottom w:val="0"/>
          <w:divBdr>
            <w:top w:val="none" w:sz="0" w:space="0" w:color="auto"/>
            <w:left w:val="none" w:sz="0" w:space="0" w:color="auto"/>
            <w:bottom w:val="none" w:sz="0" w:space="0" w:color="auto"/>
            <w:right w:val="none" w:sz="0" w:space="0" w:color="auto"/>
          </w:divBdr>
        </w:div>
        <w:div w:id="2096438356">
          <w:marLeft w:val="1123"/>
          <w:marRight w:val="0"/>
          <w:marTop w:val="60"/>
          <w:marBottom w:val="0"/>
          <w:divBdr>
            <w:top w:val="none" w:sz="0" w:space="0" w:color="auto"/>
            <w:left w:val="none" w:sz="0" w:space="0" w:color="auto"/>
            <w:bottom w:val="none" w:sz="0" w:space="0" w:color="auto"/>
            <w:right w:val="none" w:sz="0" w:space="0" w:color="auto"/>
          </w:divBdr>
        </w:div>
      </w:divsChild>
    </w:div>
    <w:div w:id="1472937821">
      <w:bodyDiv w:val="1"/>
      <w:marLeft w:val="0"/>
      <w:marRight w:val="0"/>
      <w:marTop w:val="0"/>
      <w:marBottom w:val="0"/>
      <w:divBdr>
        <w:top w:val="none" w:sz="0" w:space="0" w:color="auto"/>
        <w:left w:val="none" w:sz="0" w:space="0" w:color="auto"/>
        <w:bottom w:val="none" w:sz="0" w:space="0" w:color="auto"/>
        <w:right w:val="none" w:sz="0" w:space="0" w:color="auto"/>
      </w:divBdr>
      <w:divsChild>
        <w:div w:id="20398677">
          <w:marLeft w:val="1123"/>
          <w:marRight w:val="0"/>
          <w:marTop w:val="60"/>
          <w:marBottom w:val="0"/>
          <w:divBdr>
            <w:top w:val="none" w:sz="0" w:space="0" w:color="auto"/>
            <w:left w:val="none" w:sz="0" w:space="0" w:color="auto"/>
            <w:bottom w:val="none" w:sz="0" w:space="0" w:color="auto"/>
            <w:right w:val="none" w:sz="0" w:space="0" w:color="auto"/>
          </w:divBdr>
        </w:div>
        <w:div w:id="28579828">
          <w:marLeft w:val="1123"/>
          <w:marRight w:val="0"/>
          <w:marTop w:val="60"/>
          <w:marBottom w:val="0"/>
          <w:divBdr>
            <w:top w:val="none" w:sz="0" w:space="0" w:color="auto"/>
            <w:left w:val="none" w:sz="0" w:space="0" w:color="auto"/>
            <w:bottom w:val="none" w:sz="0" w:space="0" w:color="auto"/>
            <w:right w:val="none" w:sz="0" w:space="0" w:color="auto"/>
          </w:divBdr>
        </w:div>
        <w:div w:id="115873373">
          <w:marLeft w:val="1123"/>
          <w:marRight w:val="0"/>
          <w:marTop w:val="60"/>
          <w:marBottom w:val="0"/>
          <w:divBdr>
            <w:top w:val="none" w:sz="0" w:space="0" w:color="auto"/>
            <w:left w:val="none" w:sz="0" w:space="0" w:color="auto"/>
            <w:bottom w:val="none" w:sz="0" w:space="0" w:color="auto"/>
            <w:right w:val="none" w:sz="0" w:space="0" w:color="auto"/>
          </w:divBdr>
        </w:div>
        <w:div w:id="191499058">
          <w:marLeft w:val="547"/>
          <w:marRight w:val="0"/>
          <w:marTop w:val="60"/>
          <w:marBottom w:val="0"/>
          <w:divBdr>
            <w:top w:val="none" w:sz="0" w:space="0" w:color="auto"/>
            <w:left w:val="none" w:sz="0" w:space="0" w:color="auto"/>
            <w:bottom w:val="none" w:sz="0" w:space="0" w:color="auto"/>
            <w:right w:val="none" w:sz="0" w:space="0" w:color="auto"/>
          </w:divBdr>
        </w:div>
        <w:div w:id="278267990">
          <w:marLeft w:val="1699"/>
          <w:marRight w:val="0"/>
          <w:marTop w:val="60"/>
          <w:marBottom w:val="0"/>
          <w:divBdr>
            <w:top w:val="none" w:sz="0" w:space="0" w:color="auto"/>
            <w:left w:val="none" w:sz="0" w:space="0" w:color="auto"/>
            <w:bottom w:val="none" w:sz="0" w:space="0" w:color="auto"/>
            <w:right w:val="none" w:sz="0" w:space="0" w:color="auto"/>
          </w:divBdr>
        </w:div>
        <w:div w:id="553322048">
          <w:marLeft w:val="547"/>
          <w:marRight w:val="0"/>
          <w:marTop w:val="60"/>
          <w:marBottom w:val="0"/>
          <w:divBdr>
            <w:top w:val="none" w:sz="0" w:space="0" w:color="auto"/>
            <w:left w:val="none" w:sz="0" w:space="0" w:color="auto"/>
            <w:bottom w:val="none" w:sz="0" w:space="0" w:color="auto"/>
            <w:right w:val="none" w:sz="0" w:space="0" w:color="auto"/>
          </w:divBdr>
        </w:div>
        <w:div w:id="696007611">
          <w:marLeft w:val="2261"/>
          <w:marRight w:val="0"/>
          <w:marTop w:val="60"/>
          <w:marBottom w:val="0"/>
          <w:divBdr>
            <w:top w:val="none" w:sz="0" w:space="0" w:color="auto"/>
            <w:left w:val="none" w:sz="0" w:space="0" w:color="auto"/>
            <w:bottom w:val="none" w:sz="0" w:space="0" w:color="auto"/>
            <w:right w:val="none" w:sz="0" w:space="0" w:color="auto"/>
          </w:divBdr>
        </w:div>
        <w:div w:id="867528845">
          <w:marLeft w:val="1699"/>
          <w:marRight w:val="0"/>
          <w:marTop w:val="60"/>
          <w:marBottom w:val="0"/>
          <w:divBdr>
            <w:top w:val="none" w:sz="0" w:space="0" w:color="auto"/>
            <w:left w:val="none" w:sz="0" w:space="0" w:color="auto"/>
            <w:bottom w:val="none" w:sz="0" w:space="0" w:color="auto"/>
            <w:right w:val="none" w:sz="0" w:space="0" w:color="auto"/>
          </w:divBdr>
        </w:div>
        <w:div w:id="937131910">
          <w:marLeft w:val="547"/>
          <w:marRight w:val="0"/>
          <w:marTop w:val="60"/>
          <w:marBottom w:val="0"/>
          <w:divBdr>
            <w:top w:val="none" w:sz="0" w:space="0" w:color="auto"/>
            <w:left w:val="none" w:sz="0" w:space="0" w:color="auto"/>
            <w:bottom w:val="none" w:sz="0" w:space="0" w:color="auto"/>
            <w:right w:val="none" w:sz="0" w:space="0" w:color="auto"/>
          </w:divBdr>
        </w:div>
        <w:div w:id="947275182">
          <w:marLeft w:val="1123"/>
          <w:marRight w:val="0"/>
          <w:marTop w:val="60"/>
          <w:marBottom w:val="0"/>
          <w:divBdr>
            <w:top w:val="none" w:sz="0" w:space="0" w:color="auto"/>
            <w:left w:val="none" w:sz="0" w:space="0" w:color="auto"/>
            <w:bottom w:val="none" w:sz="0" w:space="0" w:color="auto"/>
            <w:right w:val="none" w:sz="0" w:space="0" w:color="auto"/>
          </w:divBdr>
        </w:div>
        <w:div w:id="1124150979">
          <w:marLeft w:val="1699"/>
          <w:marRight w:val="0"/>
          <w:marTop w:val="60"/>
          <w:marBottom w:val="0"/>
          <w:divBdr>
            <w:top w:val="none" w:sz="0" w:space="0" w:color="auto"/>
            <w:left w:val="none" w:sz="0" w:space="0" w:color="auto"/>
            <w:bottom w:val="none" w:sz="0" w:space="0" w:color="auto"/>
            <w:right w:val="none" w:sz="0" w:space="0" w:color="auto"/>
          </w:divBdr>
        </w:div>
        <w:div w:id="1125343117">
          <w:marLeft w:val="1123"/>
          <w:marRight w:val="0"/>
          <w:marTop w:val="60"/>
          <w:marBottom w:val="0"/>
          <w:divBdr>
            <w:top w:val="none" w:sz="0" w:space="0" w:color="auto"/>
            <w:left w:val="none" w:sz="0" w:space="0" w:color="auto"/>
            <w:bottom w:val="none" w:sz="0" w:space="0" w:color="auto"/>
            <w:right w:val="none" w:sz="0" w:space="0" w:color="auto"/>
          </w:divBdr>
        </w:div>
        <w:div w:id="1164206213">
          <w:marLeft w:val="547"/>
          <w:marRight w:val="0"/>
          <w:marTop w:val="60"/>
          <w:marBottom w:val="0"/>
          <w:divBdr>
            <w:top w:val="none" w:sz="0" w:space="0" w:color="auto"/>
            <w:left w:val="none" w:sz="0" w:space="0" w:color="auto"/>
            <w:bottom w:val="none" w:sz="0" w:space="0" w:color="auto"/>
            <w:right w:val="none" w:sz="0" w:space="0" w:color="auto"/>
          </w:divBdr>
        </w:div>
        <w:div w:id="1267350245">
          <w:marLeft w:val="1699"/>
          <w:marRight w:val="0"/>
          <w:marTop w:val="60"/>
          <w:marBottom w:val="0"/>
          <w:divBdr>
            <w:top w:val="none" w:sz="0" w:space="0" w:color="auto"/>
            <w:left w:val="none" w:sz="0" w:space="0" w:color="auto"/>
            <w:bottom w:val="none" w:sz="0" w:space="0" w:color="auto"/>
            <w:right w:val="none" w:sz="0" w:space="0" w:color="auto"/>
          </w:divBdr>
        </w:div>
        <w:div w:id="1366711167">
          <w:marLeft w:val="1123"/>
          <w:marRight w:val="0"/>
          <w:marTop w:val="60"/>
          <w:marBottom w:val="0"/>
          <w:divBdr>
            <w:top w:val="none" w:sz="0" w:space="0" w:color="auto"/>
            <w:left w:val="none" w:sz="0" w:space="0" w:color="auto"/>
            <w:bottom w:val="none" w:sz="0" w:space="0" w:color="auto"/>
            <w:right w:val="none" w:sz="0" w:space="0" w:color="auto"/>
          </w:divBdr>
        </w:div>
        <w:div w:id="1577787872">
          <w:marLeft w:val="1699"/>
          <w:marRight w:val="0"/>
          <w:marTop w:val="60"/>
          <w:marBottom w:val="0"/>
          <w:divBdr>
            <w:top w:val="none" w:sz="0" w:space="0" w:color="auto"/>
            <w:left w:val="none" w:sz="0" w:space="0" w:color="auto"/>
            <w:bottom w:val="none" w:sz="0" w:space="0" w:color="auto"/>
            <w:right w:val="none" w:sz="0" w:space="0" w:color="auto"/>
          </w:divBdr>
        </w:div>
        <w:div w:id="1675647712">
          <w:marLeft w:val="1123"/>
          <w:marRight w:val="0"/>
          <w:marTop w:val="60"/>
          <w:marBottom w:val="0"/>
          <w:divBdr>
            <w:top w:val="none" w:sz="0" w:space="0" w:color="auto"/>
            <w:left w:val="none" w:sz="0" w:space="0" w:color="auto"/>
            <w:bottom w:val="none" w:sz="0" w:space="0" w:color="auto"/>
            <w:right w:val="none" w:sz="0" w:space="0" w:color="auto"/>
          </w:divBdr>
        </w:div>
        <w:div w:id="1827283942">
          <w:marLeft w:val="1699"/>
          <w:marRight w:val="0"/>
          <w:marTop w:val="60"/>
          <w:marBottom w:val="0"/>
          <w:divBdr>
            <w:top w:val="none" w:sz="0" w:space="0" w:color="auto"/>
            <w:left w:val="none" w:sz="0" w:space="0" w:color="auto"/>
            <w:bottom w:val="none" w:sz="0" w:space="0" w:color="auto"/>
            <w:right w:val="none" w:sz="0" w:space="0" w:color="auto"/>
          </w:divBdr>
        </w:div>
        <w:div w:id="1837644698">
          <w:marLeft w:val="1123"/>
          <w:marRight w:val="0"/>
          <w:marTop w:val="60"/>
          <w:marBottom w:val="0"/>
          <w:divBdr>
            <w:top w:val="none" w:sz="0" w:space="0" w:color="auto"/>
            <w:left w:val="none" w:sz="0" w:space="0" w:color="auto"/>
            <w:bottom w:val="none" w:sz="0" w:space="0" w:color="auto"/>
            <w:right w:val="none" w:sz="0" w:space="0" w:color="auto"/>
          </w:divBdr>
        </w:div>
        <w:div w:id="1988708220">
          <w:marLeft w:val="1123"/>
          <w:marRight w:val="0"/>
          <w:marTop w:val="60"/>
          <w:marBottom w:val="0"/>
          <w:divBdr>
            <w:top w:val="none" w:sz="0" w:space="0" w:color="auto"/>
            <w:left w:val="none" w:sz="0" w:space="0" w:color="auto"/>
            <w:bottom w:val="none" w:sz="0" w:space="0" w:color="auto"/>
            <w:right w:val="none" w:sz="0" w:space="0" w:color="auto"/>
          </w:divBdr>
        </w:div>
      </w:divsChild>
    </w:div>
    <w:div w:id="1528324770">
      <w:bodyDiv w:val="1"/>
      <w:marLeft w:val="0"/>
      <w:marRight w:val="0"/>
      <w:marTop w:val="0"/>
      <w:marBottom w:val="0"/>
      <w:divBdr>
        <w:top w:val="none" w:sz="0" w:space="0" w:color="auto"/>
        <w:left w:val="none" w:sz="0" w:space="0" w:color="auto"/>
        <w:bottom w:val="none" w:sz="0" w:space="0" w:color="auto"/>
        <w:right w:val="none" w:sz="0" w:space="0" w:color="auto"/>
      </w:divBdr>
    </w:div>
    <w:div w:id="1543445523">
      <w:bodyDiv w:val="1"/>
      <w:marLeft w:val="0"/>
      <w:marRight w:val="0"/>
      <w:marTop w:val="0"/>
      <w:marBottom w:val="0"/>
      <w:divBdr>
        <w:top w:val="none" w:sz="0" w:space="0" w:color="auto"/>
        <w:left w:val="none" w:sz="0" w:space="0" w:color="auto"/>
        <w:bottom w:val="none" w:sz="0" w:space="0" w:color="auto"/>
        <w:right w:val="none" w:sz="0" w:space="0" w:color="auto"/>
      </w:divBdr>
      <w:divsChild>
        <w:div w:id="1179468877">
          <w:marLeft w:val="547"/>
          <w:marRight w:val="0"/>
          <w:marTop w:val="60"/>
          <w:marBottom w:val="0"/>
          <w:divBdr>
            <w:top w:val="none" w:sz="0" w:space="0" w:color="auto"/>
            <w:left w:val="none" w:sz="0" w:space="0" w:color="auto"/>
            <w:bottom w:val="none" w:sz="0" w:space="0" w:color="auto"/>
            <w:right w:val="none" w:sz="0" w:space="0" w:color="auto"/>
          </w:divBdr>
        </w:div>
      </w:divsChild>
    </w:div>
    <w:div w:id="1603995523">
      <w:bodyDiv w:val="1"/>
      <w:marLeft w:val="0"/>
      <w:marRight w:val="0"/>
      <w:marTop w:val="0"/>
      <w:marBottom w:val="0"/>
      <w:divBdr>
        <w:top w:val="none" w:sz="0" w:space="0" w:color="auto"/>
        <w:left w:val="none" w:sz="0" w:space="0" w:color="auto"/>
        <w:bottom w:val="none" w:sz="0" w:space="0" w:color="auto"/>
        <w:right w:val="none" w:sz="0" w:space="0" w:color="auto"/>
      </w:divBdr>
    </w:div>
    <w:div w:id="1617440401">
      <w:bodyDiv w:val="1"/>
      <w:marLeft w:val="0"/>
      <w:marRight w:val="0"/>
      <w:marTop w:val="0"/>
      <w:marBottom w:val="0"/>
      <w:divBdr>
        <w:top w:val="none" w:sz="0" w:space="0" w:color="auto"/>
        <w:left w:val="none" w:sz="0" w:space="0" w:color="auto"/>
        <w:bottom w:val="none" w:sz="0" w:space="0" w:color="auto"/>
        <w:right w:val="none" w:sz="0" w:space="0" w:color="auto"/>
      </w:divBdr>
    </w:div>
    <w:div w:id="1674186896">
      <w:bodyDiv w:val="1"/>
      <w:marLeft w:val="0"/>
      <w:marRight w:val="0"/>
      <w:marTop w:val="0"/>
      <w:marBottom w:val="0"/>
      <w:divBdr>
        <w:top w:val="none" w:sz="0" w:space="0" w:color="auto"/>
        <w:left w:val="none" w:sz="0" w:space="0" w:color="auto"/>
        <w:bottom w:val="none" w:sz="0" w:space="0" w:color="auto"/>
        <w:right w:val="none" w:sz="0" w:space="0" w:color="auto"/>
      </w:divBdr>
    </w:div>
    <w:div w:id="1681810135">
      <w:bodyDiv w:val="1"/>
      <w:marLeft w:val="0"/>
      <w:marRight w:val="0"/>
      <w:marTop w:val="0"/>
      <w:marBottom w:val="0"/>
      <w:divBdr>
        <w:top w:val="none" w:sz="0" w:space="0" w:color="auto"/>
        <w:left w:val="none" w:sz="0" w:space="0" w:color="auto"/>
        <w:bottom w:val="none" w:sz="0" w:space="0" w:color="auto"/>
        <w:right w:val="none" w:sz="0" w:space="0" w:color="auto"/>
      </w:divBdr>
    </w:div>
    <w:div w:id="1723140122">
      <w:bodyDiv w:val="1"/>
      <w:marLeft w:val="0"/>
      <w:marRight w:val="0"/>
      <w:marTop w:val="0"/>
      <w:marBottom w:val="0"/>
      <w:divBdr>
        <w:top w:val="none" w:sz="0" w:space="0" w:color="auto"/>
        <w:left w:val="none" w:sz="0" w:space="0" w:color="auto"/>
        <w:bottom w:val="none" w:sz="0" w:space="0" w:color="auto"/>
        <w:right w:val="none" w:sz="0" w:space="0" w:color="auto"/>
      </w:divBdr>
    </w:div>
    <w:div w:id="1772159261">
      <w:bodyDiv w:val="1"/>
      <w:marLeft w:val="0"/>
      <w:marRight w:val="0"/>
      <w:marTop w:val="0"/>
      <w:marBottom w:val="0"/>
      <w:divBdr>
        <w:top w:val="none" w:sz="0" w:space="0" w:color="auto"/>
        <w:left w:val="none" w:sz="0" w:space="0" w:color="auto"/>
        <w:bottom w:val="none" w:sz="0" w:space="0" w:color="auto"/>
        <w:right w:val="none" w:sz="0" w:space="0" w:color="auto"/>
      </w:divBdr>
    </w:div>
    <w:div w:id="1807550916">
      <w:bodyDiv w:val="1"/>
      <w:marLeft w:val="0"/>
      <w:marRight w:val="0"/>
      <w:marTop w:val="0"/>
      <w:marBottom w:val="0"/>
      <w:divBdr>
        <w:top w:val="none" w:sz="0" w:space="0" w:color="auto"/>
        <w:left w:val="none" w:sz="0" w:space="0" w:color="auto"/>
        <w:bottom w:val="none" w:sz="0" w:space="0" w:color="auto"/>
        <w:right w:val="none" w:sz="0" w:space="0" w:color="auto"/>
      </w:divBdr>
    </w:div>
    <w:div w:id="1811053607">
      <w:bodyDiv w:val="1"/>
      <w:marLeft w:val="0"/>
      <w:marRight w:val="0"/>
      <w:marTop w:val="0"/>
      <w:marBottom w:val="0"/>
      <w:divBdr>
        <w:top w:val="none" w:sz="0" w:space="0" w:color="auto"/>
        <w:left w:val="none" w:sz="0" w:space="0" w:color="auto"/>
        <w:bottom w:val="none" w:sz="0" w:space="0" w:color="auto"/>
        <w:right w:val="none" w:sz="0" w:space="0" w:color="auto"/>
      </w:divBdr>
    </w:div>
    <w:div w:id="1829636625">
      <w:bodyDiv w:val="1"/>
      <w:marLeft w:val="0"/>
      <w:marRight w:val="0"/>
      <w:marTop w:val="0"/>
      <w:marBottom w:val="0"/>
      <w:divBdr>
        <w:top w:val="none" w:sz="0" w:space="0" w:color="auto"/>
        <w:left w:val="none" w:sz="0" w:space="0" w:color="auto"/>
        <w:bottom w:val="none" w:sz="0" w:space="0" w:color="auto"/>
        <w:right w:val="none" w:sz="0" w:space="0" w:color="auto"/>
      </w:divBdr>
      <w:divsChild>
        <w:div w:id="96214588">
          <w:marLeft w:val="0"/>
          <w:marRight w:val="0"/>
          <w:marTop w:val="0"/>
          <w:marBottom w:val="0"/>
          <w:divBdr>
            <w:top w:val="none" w:sz="0" w:space="0" w:color="auto"/>
            <w:left w:val="none" w:sz="0" w:space="0" w:color="auto"/>
            <w:bottom w:val="none" w:sz="0" w:space="0" w:color="auto"/>
            <w:right w:val="none" w:sz="0" w:space="0" w:color="auto"/>
          </w:divBdr>
          <w:divsChild>
            <w:div w:id="1476222319">
              <w:marLeft w:val="0"/>
              <w:marRight w:val="0"/>
              <w:marTop w:val="0"/>
              <w:marBottom w:val="0"/>
              <w:divBdr>
                <w:top w:val="none" w:sz="0" w:space="0" w:color="auto"/>
                <w:left w:val="none" w:sz="0" w:space="0" w:color="auto"/>
                <w:bottom w:val="none" w:sz="0" w:space="0" w:color="auto"/>
                <w:right w:val="none" w:sz="0" w:space="0" w:color="auto"/>
              </w:divBdr>
              <w:divsChild>
                <w:div w:id="556622046">
                  <w:marLeft w:val="0"/>
                  <w:marRight w:val="0"/>
                  <w:marTop w:val="0"/>
                  <w:marBottom w:val="0"/>
                  <w:divBdr>
                    <w:top w:val="none" w:sz="0" w:space="0" w:color="auto"/>
                    <w:left w:val="none" w:sz="0" w:space="0" w:color="auto"/>
                    <w:bottom w:val="none" w:sz="0" w:space="0" w:color="auto"/>
                    <w:right w:val="none" w:sz="0" w:space="0" w:color="auto"/>
                  </w:divBdr>
                  <w:divsChild>
                    <w:div w:id="71350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626632">
      <w:bodyDiv w:val="1"/>
      <w:marLeft w:val="0"/>
      <w:marRight w:val="0"/>
      <w:marTop w:val="0"/>
      <w:marBottom w:val="0"/>
      <w:divBdr>
        <w:top w:val="none" w:sz="0" w:space="0" w:color="auto"/>
        <w:left w:val="none" w:sz="0" w:space="0" w:color="auto"/>
        <w:bottom w:val="none" w:sz="0" w:space="0" w:color="auto"/>
        <w:right w:val="none" w:sz="0" w:space="0" w:color="auto"/>
      </w:divBdr>
    </w:div>
    <w:div w:id="1888880532">
      <w:bodyDiv w:val="1"/>
      <w:marLeft w:val="0"/>
      <w:marRight w:val="0"/>
      <w:marTop w:val="0"/>
      <w:marBottom w:val="0"/>
      <w:divBdr>
        <w:top w:val="none" w:sz="0" w:space="0" w:color="auto"/>
        <w:left w:val="none" w:sz="0" w:space="0" w:color="auto"/>
        <w:bottom w:val="none" w:sz="0" w:space="0" w:color="auto"/>
        <w:right w:val="none" w:sz="0" w:space="0" w:color="auto"/>
      </w:divBdr>
      <w:divsChild>
        <w:div w:id="194471092">
          <w:marLeft w:val="0"/>
          <w:marRight w:val="0"/>
          <w:marTop w:val="0"/>
          <w:marBottom w:val="0"/>
          <w:divBdr>
            <w:top w:val="none" w:sz="0" w:space="0" w:color="auto"/>
            <w:left w:val="none" w:sz="0" w:space="0" w:color="auto"/>
            <w:bottom w:val="none" w:sz="0" w:space="0" w:color="auto"/>
            <w:right w:val="none" w:sz="0" w:space="0" w:color="auto"/>
          </w:divBdr>
          <w:divsChild>
            <w:div w:id="1450468122">
              <w:marLeft w:val="0"/>
              <w:marRight w:val="0"/>
              <w:marTop w:val="0"/>
              <w:marBottom w:val="0"/>
              <w:divBdr>
                <w:top w:val="none" w:sz="0" w:space="0" w:color="auto"/>
                <w:left w:val="none" w:sz="0" w:space="0" w:color="auto"/>
                <w:bottom w:val="none" w:sz="0" w:space="0" w:color="auto"/>
                <w:right w:val="none" w:sz="0" w:space="0" w:color="auto"/>
              </w:divBdr>
              <w:divsChild>
                <w:div w:id="509682282">
                  <w:marLeft w:val="0"/>
                  <w:marRight w:val="0"/>
                  <w:marTop w:val="0"/>
                  <w:marBottom w:val="0"/>
                  <w:divBdr>
                    <w:top w:val="none" w:sz="0" w:space="0" w:color="auto"/>
                    <w:left w:val="none" w:sz="0" w:space="0" w:color="auto"/>
                    <w:bottom w:val="none" w:sz="0" w:space="0" w:color="auto"/>
                    <w:right w:val="none" w:sz="0" w:space="0" w:color="auto"/>
                  </w:divBdr>
                  <w:divsChild>
                    <w:div w:id="1206912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1402605">
      <w:bodyDiv w:val="1"/>
      <w:marLeft w:val="0"/>
      <w:marRight w:val="0"/>
      <w:marTop w:val="0"/>
      <w:marBottom w:val="0"/>
      <w:divBdr>
        <w:top w:val="none" w:sz="0" w:space="0" w:color="auto"/>
        <w:left w:val="none" w:sz="0" w:space="0" w:color="auto"/>
        <w:bottom w:val="none" w:sz="0" w:space="0" w:color="auto"/>
        <w:right w:val="none" w:sz="0" w:space="0" w:color="auto"/>
      </w:divBdr>
    </w:div>
    <w:div w:id="1922644798">
      <w:bodyDiv w:val="1"/>
      <w:marLeft w:val="0"/>
      <w:marRight w:val="0"/>
      <w:marTop w:val="0"/>
      <w:marBottom w:val="0"/>
      <w:divBdr>
        <w:top w:val="none" w:sz="0" w:space="0" w:color="auto"/>
        <w:left w:val="none" w:sz="0" w:space="0" w:color="auto"/>
        <w:bottom w:val="none" w:sz="0" w:space="0" w:color="auto"/>
        <w:right w:val="none" w:sz="0" w:space="0" w:color="auto"/>
      </w:divBdr>
    </w:div>
    <w:div w:id="1941912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821FD9-A7A3-41CD-8011-01EF32F278CC}"/>
</file>

<file path=customXml/itemProps2.xml><?xml version="1.0" encoding="utf-8"?>
<ds:datastoreItem xmlns:ds="http://schemas.openxmlformats.org/officeDocument/2006/customXml" ds:itemID="{684C8942-A031-44C1-94C7-718A3E9C6FBE}">
  <ds:schemaRefs>
    <ds:schemaRef ds:uri="http://schemas.microsoft.com/office/2006/metadata/properties"/>
    <ds:schemaRef ds:uri="http://schemas.microsoft.com/office/infopath/2007/PartnerControls"/>
    <ds:schemaRef ds:uri="9b239327-9e80-40e4-b1b7-4394fed77a33"/>
    <ds:schemaRef ds:uri="2f282d3b-eb4a-4b09-b61f-b9593442e286"/>
  </ds:schemaRefs>
</ds:datastoreItem>
</file>

<file path=customXml/itemProps3.xml><?xml version="1.0" encoding="utf-8"?>
<ds:datastoreItem xmlns:ds="http://schemas.openxmlformats.org/officeDocument/2006/customXml" ds:itemID="{7959DFDF-9D0B-4ED9-BC21-9823B4A3D883}">
  <ds:schemaRefs>
    <ds:schemaRef ds:uri="http://schemas.microsoft.com/sharepoint/v3/contenttype/forms"/>
  </ds:schemaRefs>
</ds:datastoreItem>
</file>

<file path=customXml/itemProps4.xml><?xml version="1.0" encoding="utf-8"?>
<ds:datastoreItem xmlns:ds="http://schemas.openxmlformats.org/officeDocument/2006/customXml" ds:itemID="{6CD37AAD-1EB5-43A2-B361-6FDC10B34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5583</Words>
  <Characters>31829</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2019-11-04T05:40:00Z</dcterms:created>
  <dcterms:modified xsi:type="dcterms:W3CDTF">2019-11-08T15:43:00Z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EriCOLLCategory">
    <vt:lpwstr>4;##Research|7f1f7aab-c784-40ec-8666-825d2ac7abef</vt:lpwstr>
  </property>
  <property fmtid="{D5CDD505-2E9C-101B-9397-08002B2CF9AE}" pid="4" name="TaxKeyword">
    <vt:lpwstr/>
  </property>
  <property fmtid="{D5CDD505-2E9C-101B-9397-08002B2CF9AE}" pid="5" name="EriCOLLOrganizationUnit">
    <vt:lpwstr>5;##GFTE ER Radio Access Technologies|692a7af5-c1f7-4d68-b1ab-a7920dfecb78</vt:lpwstr>
  </property>
  <property fmtid="{D5CDD505-2E9C-101B-9397-08002B2CF9AE}" pid="6" name="_dlc_DocIdItemGuid">
    <vt:lpwstr>f8735e99-e48a-4856-b73c-bbfdd530af98</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xd_ProgID">
    <vt:lpwstr/>
  </property>
  <property fmtid="{D5CDD505-2E9C-101B-9397-08002B2CF9AE}" pid="14" name="_dlc_DocId">
    <vt:lpwstr>5NUHHDQN7SK2-1476151046-112816</vt:lpwstr>
  </property>
  <property fmtid="{D5CDD505-2E9C-101B-9397-08002B2CF9AE}" pid="15" name="ComplianceAssetId">
    <vt:lpwstr/>
  </property>
  <property fmtid="{D5CDD505-2E9C-101B-9397-08002B2CF9AE}" pid="16" name="TemplateUrl">
    <vt:lpwstr/>
  </property>
  <property fmtid="{D5CDD505-2E9C-101B-9397-08002B2CF9AE}" pid="17" name="EriCOLLCategoryTaxHTField0">
    <vt:lpwstr>#Research|7f1f7aab-c784-40ec-8666-825d2ac7abef</vt:lpwstr>
  </property>
  <property fmtid="{D5CDD505-2E9C-101B-9397-08002B2CF9AE}" pid="18" name="EriCOLLOrganizationUnitTaxHTField0">
    <vt:lpwstr>#GFTE ER Radio Access Technologies|692a7af5-c1f7-4d68-b1ab-a7920dfecb78</vt:lpwstr>
  </property>
  <property fmtid="{D5CDD505-2E9C-101B-9397-08002B2CF9AE}" pid="19" name="_dlc_DocIdUrl">
    <vt:lpwstr>https://ericsson.sharepoint.com/sites/star/_layouts/15/DocIdRedir.aspx?ID=5NUHHDQN7SK2-1476151046-112816, 5NUHHDQN7SK2-1476151046-112816</vt:lpwstr>
  </property>
  <property fmtid="{D5CDD505-2E9C-101B-9397-08002B2CF9AE}" pid="20" name="xd_Signature">
    <vt:bool>false</vt:bool>
  </property>
</Properties>
</file>